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D06803" w14:textId="441C808C" w:rsidR="00EB7829" w:rsidRPr="007E0709" w:rsidRDefault="007E0709" w:rsidP="00EB7829">
      <w:pPr>
        <w:pStyle w:val="Title"/>
      </w:pPr>
      <w:bookmarkStart w:id="0" w:name="_GoBack"/>
      <w:bookmarkEnd w:id="0"/>
      <w:r>
        <w:t xml:space="preserve">Recommendations for </w:t>
      </w:r>
      <w:r w:rsidR="00A83655">
        <w:t>Implementing a Frequent Monitoring Framework in Jordan</w:t>
      </w:r>
    </w:p>
    <w:p w14:paraId="4433051E" w14:textId="77777777" w:rsidR="00295519" w:rsidRPr="007E0709" w:rsidRDefault="00295519" w:rsidP="00295519">
      <w:pPr>
        <w:pStyle w:val="Greytitle"/>
        <w:rPr>
          <w:lang w:val="fr-FR"/>
        </w:rPr>
      </w:pPr>
      <w:r>
        <w:rPr>
          <w:lang w:val="fr-FR"/>
        </w:rPr>
        <w:t>Introduction and Context</w:t>
      </w:r>
    </w:p>
    <w:p w14:paraId="74583B6B" w14:textId="004B7057" w:rsidR="00EB7829" w:rsidRDefault="00E67712" w:rsidP="00F64B4B">
      <w:pPr>
        <w:jc w:val="both"/>
      </w:pPr>
      <w:r>
        <w:t xml:space="preserve">Since the start of 2016, the United Nations Country Team (UNCT) in Jordan has been working towards the development of a Frequent Monitoring Framework (FMF) </w:t>
      </w:r>
      <w:r w:rsidR="007D13FE">
        <w:t>to provide a shared framework to monitor the impact and outcomes of the work of the UN family in the country</w:t>
      </w:r>
      <w:r>
        <w:t xml:space="preserve">. To support the development of the FMF, </w:t>
      </w:r>
      <w:r w:rsidR="007E0709">
        <w:t xml:space="preserve">REACH has been tasked by the Office of the United Nations Resident and Humanitarian Coordinator (UN RC/HC-O) in Jordan to assess and produce a series of recommendations on </w:t>
      </w:r>
      <w:r w:rsidR="00C737C7">
        <w:t>how</w:t>
      </w:r>
      <w:r w:rsidR="00A83655">
        <w:t xml:space="preserve"> such a framework might be structured and how</w:t>
      </w:r>
      <w:r w:rsidR="00C737C7">
        <w:t xml:space="preserve"> an Information Management System that supports such a framework might be put together</w:t>
      </w:r>
      <w:r w:rsidR="007E0709">
        <w:t>.</w:t>
      </w:r>
      <w:r w:rsidR="00AA526D">
        <w:t xml:space="preserve"> </w:t>
      </w:r>
      <w:r w:rsidR="00F61D5D">
        <w:t>The aim of the Frequent Monitoring Framework is to monitor progress against outcome indicators of the UN(D)AF</w:t>
      </w:r>
      <w:r w:rsidRPr="00E67712">
        <w:t>.</w:t>
      </w:r>
    </w:p>
    <w:p w14:paraId="52D4DD12" w14:textId="77777777" w:rsidR="00A83655" w:rsidRDefault="00A83655" w:rsidP="00F64B4B">
      <w:pPr>
        <w:jc w:val="both"/>
      </w:pPr>
    </w:p>
    <w:p w14:paraId="5CB6F0DD" w14:textId="77777777" w:rsidR="00FC311D" w:rsidRDefault="00F61D5D" w:rsidP="00F64B4B">
      <w:pPr>
        <w:jc w:val="both"/>
      </w:pPr>
      <w:r>
        <w:t>The present paper sets out challenges that were encoun</w:t>
      </w:r>
      <w:r w:rsidR="00FC311D">
        <w:t>w</w:t>
      </w:r>
    </w:p>
    <w:p w14:paraId="4B31E364" w14:textId="71433E27" w:rsidR="00A83655" w:rsidRDefault="00F61D5D" w:rsidP="00F64B4B">
      <w:pPr>
        <w:jc w:val="both"/>
      </w:pPr>
      <w:r>
        <w:t>tered in trying to set up the Frequent Monitoring Framework for the previous UN(D)AF and presents a number of lessons learned for putting in place better data collection and monitoring for the forthcoming UNSDPF</w:t>
      </w:r>
      <w:r w:rsidR="007A2658">
        <w:t>. Finally, the recommended tools and structure for such a system are presented.</w:t>
      </w:r>
    </w:p>
    <w:p w14:paraId="77EC6ACF" w14:textId="2AC550A6" w:rsidR="00EB7829" w:rsidRDefault="00F61D5D" w:rsidP="00EB7829">
      <w:pPr>
        <w:pStyle w:val="Greytitle"/>
      </w:pPr>
      <w:r>
        <w:t>Challenges</w:t>
      </w:r>
    </w:p>
    <w:p w14:paraId="36192509" w14:textId="79585438" w:rsidR="00F61D5D" w:rsidRDefault="00F61D5D" w:rsidP="00EB7829">
      <w:r>
        <w:t>A number of challenges were encountered while trying to set up the FMF for the UN(D)AF in Jordan, specifically:</w:t>
      </w:r>
    </w:p>
    <w:p w14:paraId="2E032D0E" w14:textId="77777777" w:rsidR="00F61D5D" w:rsidRDefault="00F61D5D" w:rsidP="00EB7829"/>
    <w:p w14:paraId="0B7F9BBE" w14:textId="75C381E2" w:rsidR="00F61D5D" w:rsidRDefault="00F61D5D" w:rsidP="006120CE">
      <w:pPr>
        <w:pStyle w:val="ListParagraph"/>
        <w:numPr>
          <w:ilvl w:val="0"/>
          <w:numId w:val="8"/>
        </w:numPr>
        <w:jc w:val="both"/>
      </w:pPr>
      <w:r>
        <w:t>Not all indicators in the UN(D)AF were relevant or reflective of UN family programming in Jordan.</w:t>
      </w:r>
      <w:r w:rsidR="00F37EA6">
        <w:t xml:space="preserve"> This meant that some indicators and sources of data selected for the FMF were not directly related to the UN(D)AF.</w:t>
      </w:r>
    </w:p>
    <w:p w14:paraId="26C0FFB9" w14:textId="78097E91" w:rsidR="00F61D5D" w:rsidRDefault="00F61D5D" w:rsidP="006120CE">
      <w:pPr>
        <w:pStyle w:val="ListParagraph"/>
        <w:numPr>
          <w:ilvl w:val="0"/>
          <w:numId w:val="8"/>
        </w:numPr>
        <w:jc w:val="both"/>
      </w:pPr>
      <w:r>
        <w:t>Data for many indicators were simply not collected by agencies, and if data was available it was often not comparable – i.e. it was collected on different timeframes and using different forms of disaggregation.</w:t>
      </w:r>
      <w:r w:rsidR="00464300">
        <w:t xml:space="preserve"> </w:t>
      </w:r>
      <w:r w:rsidR="00F37EA6">
        <w:t xml:space="preserve">Data was much more widely available for output indicators, with outcome indicators not being regularly collected. This was the case even for outcome indicators that would be relatively easy to collect data on. </w:t>
      </w:r>
    </w:p>
    <w:p w14:paraId="57EB58F1" w14:textId="1F496FDF" w:rsidR="00464300" w:rsidRDefault="00464300" w:rsidP="006120CE">
      <w:pPr>
        <w:pStyle w:val="ListParagraph"/>
        <w:numPr>
          <w:ilvl w:val="0"/>
          <w:numId w:val="8"/>
        </w:numPr>
        <w:jc w:val="both"/>
      </w:pPr>
      <w:r>
        <w:t>There was c</w:t>
      </w:r>
      <w:r w:rsidR="00F61D5D">
        <w:t xml:space="preserve">onfusion around outcome and output level data led to a lack of clarity in indicators, with </w:t>
      </w:r>
      <w:r w:rsidR="00C623CE">
        <w:t>many agencies collecting only output-level data and only presenting this data for inclusion. This led to the dashboards produced being very output-focused, rather than reflecting impact of UN family programming.</w:t>
      </w:r>
      <w:r w:rsidR="00F37EA6">
        <w:t xml:space="preserve"> In some cases there was confusion between outputs and outcomes, with outputs being presented as outcomes and outcome level indicators not being properly represented.</w:t>
      </w:r>
    </w:p>
    <w:p w14:paraId="6CF843CB" w14:textId="4CA3F13D" w:rsidR="00AA526D" w:rsidRPr="00AA526D" w:rsidRDefault="00464300" w:rsidP="006120CE">
      <w:pPr>
        <w:pStyle w:val="ListParagraph"/>
        <w:numPr>
          <w:ilvl w:val="0"/>
          <w:numId w:val="8"/>
        </w:numPr>
        <w:jc w:val="both"/>
      </w:pPr>
      <w:r>
        <w:t>There was a lack of buy-in from agencies as no clear structure for the management of the FMF was put in place from the outset. While most agencies had focal points that developed over time through their engagement with the FMF, many agencies did not have clear focal persons and thus getting data was difficult.</w:t>
      </w:r>
    </w:p>
    <w:p w14:paraId="0B4DC3C7" w14:textId="486A859B" w:rsidR="00EB7829" w:rsidRDefault="009F7CD4" w:rsidP="00EB7829">
      <w:pPr>
        <w:pStyle w:val="Greytitle"/>
      </w:pPr>
      <w:r>
        <w:t>Lessons Learned</w:t>
      </w:r>
    </w:p>
    <w:p w14:paraId="5AD016CD" w14:textId="77777777" w:rsidR="003B1C31" w:rsidRDefault="003B1C31" w:rsidP="00EB7829"/>
    <w:p w14:paraId="7C07A0DE" w14:textId="2751E2D2" w:rsidR="003B1C31" w:rsidRDefault="00AA526D" w:rsidP="006120CE">
      <w:pPr>
        <w:jc w:val="both"/>
      </w:pPr>
      <w:r>
        <w:t>Having undertaken over the previous year efforts to put in place the foundations of such a system, REACH has produced a number of lessons learned around the creation of IMS</w:t>
      </w:r>
      <w:r w:rsidR="00A83655">
        <w:t xml:space="preserve"> to support the Frequent Monitoring Framework</w:t>
      </w:r>
      <w:r>
        <w:t xml:space="preserve">. </w:t>
      </w:r>
      <w:r w:rsidR="003B1C31">
        <w:t xml:space="preserve">The following represent key </w:t>
      </w:r>
      <w:r>
        <w:t>findings</w:t>
      </w:r>
      <w:r w:rsidR="003B1C31">
        <w:t xml:space="preserve"> around the creation of </w:t>
      </w:r>
      <w:r w:rsidR="00A83655">
        <w:t>a Frequent Monitoring Framework and supporting Information Management System</w:t>
      </w:r>
      <w:r w:rsidR="003B1C31">
        <w:t>:</w:t>
      </w:r>
    </w:p>
    <w:p w14:paraId="4BB36227" w14:textId="77777777" w:rsidR="003B1C31" w:rsidRDefault="003B1C31" w:rsidP="00EB7829"/>
    <w:p w14:paraId="715D2627" w14:textId="3C94B992" w:rsidR="00F61D5D" w:rsidRDefault="00F61D5D" w:rsidP="006120CE">
      <w:pPr>
        <w:pStyle w:val="ListParagraph"/>
        <w:numPr>
          <w:ilvl w:val="0"/>
          <w:numId w:val="5"/>
        </w:numPr>
        <w:jc w:val="both"/>
      </w:pPr>
      <w:r>
        <w:rPr>
          <w:b/>
        </w:rPr>
        <w:t xml:space="preserve">Agencies should harmonize data collection time periods, tools, and types of disaggregation. </w:t>
      </w:r>
      <w:r>
        <w:t>While  some differences in the data collected by agency monitoring and evaluation units is understandable and unavoidable, as different agencies operate different M&amp;E frameworks and have different reporting requirements, a basic set of data for UNDAF/UNSDPF monitoring should be agreed across all agencies and operationalized.</w:t>
      </w:r>
    </w:p>
    <w:p w14:paraId="4FE2A690" w14:textId="556359B9" w:rsidR="00C623CE" w:rsidRDefault="00C623CE" w:rsidP="006120CE">
      <w:pPr>
        <w:pStyle w:val="ListParagraph"/>
        <w:numPr>
          <w:ilvl w:val="0"/>
          <w:numId w:val="5"/>
        </w:numPr>
        <w:jc w:val="both"/>
      </w:pPr>
      <w:r>
        <w:rPr>
          <w:b/>
        </w:rPr>
        <w:t>There should be agreement around the sources of data for outcome</w:t>
      </w:r>
      <w:r w:rsidRPr="00C623CE">
        <w:rPr>
          <w:b/>
        </w:rPr>
        <w:t>-</w:t>
      </w:r>
      <w:r w:rsidRPr="006120CE">
        <w:rPr>
          <w:b/>
        </w:rPr>
        <w:t>level indicators</w:t>
      </w:r>
      <w:r w:rsidR="008B6417">
        <w:rPr>
          <w:b/>
        </w:rPr>
        <w:t xml:space="preserve"> used in Jordan</w:t>
      </w:r>
      <w:r>
        <w:t xml:space="preserve">. Agreement around the source used for data – Department of Statistics or (for example) Ministry of Labor figures, or agency monitoring such as the WFP-led Comprehensive Food Security Monitoring Exercise – should be secured from the outset to ensure that indicators that are selected are realistic and measurable in the Jordan context. </w:t>
      </w:r>
    </w:p>
    <w:p w14:paraId="5154DF52" w14:textId="414D6086" w:rsidR="00F61D5D" w:rsidRDefault="00F61D5D" w:rsidP="006120CE">
      <w:pPr>
        <w:pStyle w:val="ListParagraph"/>
        <w:numPr>
          <w:ilvl w:val="0"/>
          <w:numId w:val="5"/>
        </w:numPr>
        <w:jc w:val="both"/>
      </w:pPr>
      <w:r>
        <w:rPr>
          <w:b/>
        </w:rPr>
        <w:lastRenderedPageBreak/>
        <w:t xml:space="preserve">Lead agencies should be selected </w:t>
      </w:r>
      <w:r>
        <w:t>to act as the focal agency for each</w:t>
      </w:r>
      <w:r w:rsidR="00C623CE">
        <w:t xml:space="preserve"> sector</w:t>
      </w:r>
      <w:r>
        <w:t xml:space="preserve">. For example, WFP could act as the lead agency for collecting data on food security and entering this data into the FMF. This would avoid </w:t>
      </w:r>
      <w:r w:rsidR="00C623CE">
        <w:t>the potential duplication of figures.</w:t>
      </w:r>
    </w:p>
    <w:p w14:paraId="5FB53CBE" w14:textId="130C2E92" w:rsidR="00C623CE" w:rsidRDefault="00A94EA9" w:rsidP="006120CE">
      <w:pPr>
        <w:pStyle w:val="ListParagraph"/>
        <w:numPr>
          <w:ilvl w:val="0"/>
          <w:numId w:val="5"/>
        </w:numPr>
        <w:jc w:val="both"/>
      </w:pPr>
      <w:r>
        <w:rPr>
          <w:b/>
        </w:rPr>
        <w:t>There should be a more definite</w:t>
      </w:r>
      <w:r w:rsidR="008B6417">
        <w:rPr>
          <w:b/>
        </w:rPr>
        <w:t xml:space="preserve"> management</w:t>
      </w:r>
      <w:r>
        <w:rPr>
          <w:b/>
        </w:rPr>
        <w:t xml:space="preserve"> structure around the FMF</w:t>
      </w:r>
      <w:r w:rsidR="00C623CE">
        <w:rPr>
          <w:b/>
        </w:rPr>
        <w:t xml:space="preserve">. </w:t>
      </w:r>
      <w:r>
        <w:t>This would allow the process to be actively led by the UN family, ensure correct and timely reporting and responsibility for specific activities such as data entry</w:t>
      </w:r>
      <w:r w:rsidR="00C623CE">
        <w:t>.</w:t>
      </w:r>
    </w:p>
    <w:p w14:paraId="26CE6A1F" w14:textId="77777777" w:rsidR="009F7CD4" w:rsidRDefault="009F7CD4" w:rsidP="006120CE"/>
    <w:p w14:paraId="132A74F6" w14:textId="2F5ADC2B" w:rsidR="009F7CD4" w:rsidRDefault="00464300" w:rsidP="009F7CD4">
      <w:pPr>
        <w:pStyle w:val="Greytitle"/>
      </w:pPr>
      <w:r>
        <w:t xml:space="preserve">Proposed </w:t>
      </w:r>
      <w:r w:rsidR="009F7CD4">
        <w:t>F</w:t>
      </w:r>
      <w:r w:rsidR="007A2658">
        <w:t>MF S</w:t>
      </w:r>
      <w:r w:rsidR="009F7CD4">
        <w:t>tructure</w:t>
      </w:r>
      <w:r>
        <w:t xml:space="preserve"> and Tools</w:t>
      </w:r>
    </w:p>
    <w:p w14:paraId="4B2E5315" w14:textId="77777777" w:rsidR="00464300" w:rsidRDefault="009F7CD4" w:rsidP="00336DF5">
      <w:r>
        <w:t xml:space="preserve">Based on the above challenges and lessons learned, </w:t>
      </w:r>
      <w:r w:rsidR="00336DF5">
        <w:t xml:space="preserve">REACH would recommend the tools and structure outlined below be adopted for the implementation of the FMF in Jordan. </w:t>
      </w:r>
      <w:r w:rsidR="00464300">
        <w:t>The structure below is based on the challenges and lessons learned derived from REACH’s experience implementing such a system, and aims to overcome these specific challenges by:</w:t>
      </w:r>
    </w:p>
    <w:p w14:paraId="7B910194" w14:textId="77777777" w:rsidR="00464300" w:rsidRDefault="00464300" w:rsidP="00336DF5"/>
    <w:p w14:paraId="75E7ACDA" w14:textId="710105FB" w:rsidR="00464300" w:rsidRDefault="00464300" w:rsidP="006120CE">
      <w:pPr>
        <w:pStyle w:val="ListParagraph"/>
        <w:numPr>
          <w:ilvl w:val="0"/>
          <w:numId w:val="10"/>
        </w:numPr>
      </w:pPr>
      <w:r>
        <w:t>Automating as much of the system as possible</w:t>
      </w:r>
    </w:p>
    <w:p w14:paraId="56DCD5C0" w14:textId="25F4AD25" w:rsidR="00464300" w:rsidRDefault="00464300" w:rsidP="006120CE">
      <w:pPr>
        <w:pStyle w:val="ListParagraph"/>
        <w:numPr>
          <w:ilvl w:val="0"/>
          <w:numId w:val="10"/>
        </w:numPr>
      </w:pPr>
      <w:r>
        <w:t>Giving, as far as possible, clear responsibility and roles at each specific level</w:t>
      </w:r>
    </w:p>
    <w:p w14:paraId="15E8FB12" w14:textId="5DC577C7" w:rsidR="00464300" w:rsidRDefault="00464300" w:rsidP="006120CE">
      <w:pPr>
        <w:pStyle w:val="ListParagraph"/>
        <w:numPr>
          <w:ilvl w:val="0"/>
          <w:numId w:val="10"/>
        </w:numPr>
      </w:pPr>
      <w:r>
        <w:t>Ensuring agency participation and buy-in at all levels of the FMF, from management to the field level</w:t>
      </w:r>
    </w:p>
    <w:p w14:paraId="04F68760" w14:textId="33479FBE" w:rsidR="00464300" w:rsidRDefault="001C0B91" w:rsidP="006120CE">
      <w:pPr>
        <w:pStyle w:val="ListParagraph"/>
        <w:numPr>
          <w:ilvl w:val="0"/>
          <w:numId w:val="10"/>
        </w:numPr>
      </w:pPr>
      <w:r>
        <w:t>Ensuring usef</w:t>
      </w:r>
      <w:r w:rsidR="00E63386">
        <w:t>u</w:t>
      </w:r>
      <w:r>
        <w:t>l an</w:t>
      </w:r>
      <w:r w:rsidR="00E63386">
        <w:t>d</w:t>
      </w:r>
      <w:r>
        <w:t xml:space="preserve"> relevant data </w:t>
      </w:r>
    </w:p>
    <w:p w14:paraId="4A11ECF7" w14:textId="77777777" w:rsidR="00891BCA" w:rsidRDefault="00891BCA" w:rsidP="006120CE">
      <w:pPr>
        <w:pStyle w:val="ListParagraph"/>
      </w:pPr>
    </w:p>
    <w:p w14:paraId="022FB292" w14:textId="450D0A68" w:rsidR="00336DF5" w:rsidRDefault="00464300" w:rsidP="00336DF5">
      <w:r>
        <w:t>The structure aims to put in place a Frequent</w:t>
      </w:r>
      <w:r w:rsidR="00336DF5">
        <w:t xml:space="preserve"> Monitoring Framework that presents an online dashboard that reports on different indicators at specific timescales (monthly, quarterly, annually) and that can easily and quickly be updated by agencies. </w:t>
      </w:r>
      <w:r>
        <w:t>The online dashboard can also be adapted into a document f</w:t>
      </w:r>
      <w:r w:rsidR="001C0B91">
        <w:t>ormat along with text additions to allow narrative reporting on progress towards indicators.</w:t>
      </w:r>
    </w:p>
    <w:p w14:paraId="114BEF5F" w14:textId="77777777" w:rsidR="00336DF5" w:rsidRDefault="00336DF5" w:rsidP="006120CE"/>
    <w:p w14:paraId="66EC2813" w14:textId="662BCAC9" w:rsidR="00336DF5" w:rsidRPr="006120CE" w:rsidRDefault="00336DF5" w:rsidP="006120CE">
      <w:pPr>
        <w:rPr>
          <w:b/>
        </w:rPr>
      </w:pPr>
      <w:r w:rsidRPr="006120CE">
        <w:rPr>
          <w:b/>
        </w:rPr>
        <w:t>Structure</w:t>
      </w:r>
    </w:p>
    <w:p w14:paraId="3DBD58ED" w14:textId="77777777" w:rsidR="009F7CD4" w:rsidRDefault="009F7CD4" w:rsidP="006120CE"/>
    <w:p w14:paraId="1210ADF2" w14:textId="4B9A0E83" w:rsidR="009F7CD4" w:rsidRPr="006120CE" w:rsidRDefault="007A2658" w:rsidP="006120CE">
      <w:pPr>
        <w:pStyle w:val="ListParagraph"/>
        <w:numPr>
          <w:ilvl w:val="0"/>
          <w:numId w:val="9"/>
        </w:numPr>
        <w:rPr>
          <w:b/>
        </w:rPr>
      </w:pPr>
      <w:r>
        <w:rPr>
          <w:b/>
        </w:rPr>
        <w:t>Steering Committee</w:t>
      </w:r>
    </w:p>
    <w:p w14:paraId="06C9D94D" w14:textId="77777777" w:rsidR="009F7CD4" w:rsidRDefault="009F7CD4" w:rsidP="006120CE">
      <w:pPr>
        <w:rPr>
          <w:b/>
        </w:rPr>
      </w:pPr>
    </w:p>
    <w:p w14:paraId="4A23D48C" w14:textId="7A5F56E4" w:rsidR="009F7CD4" w:rsidRDefault="009F7CD4" w:rsidP="006120CE">
      <w:pPr>
        <w:jc w:val="both"/>
      </w:pPr>
      <w:r>
        <w:t>A steering committee should be established that comes under the supervision</w:t>
      </w:r>
      <w:r w:rsidR="004B74B9">
        <w:t xml:space="preserve"> and chairmanship</w:t>
      </w:r>
      <w:r>
        <w:t xml:space="preserve"> of the UN Resident Coordinator’s Office. The steering committee should consist of a mix of technical and management staff from each agency and will be responsible for overall oversight</w:t>
      </w:r>
      <w:r w:rsidR="00C44B9E">
        <w:t xml:space="preserve"> and guidance</w:t>
      </w:r>
      <w:r>
        <w:t xml:space="preserve"> of the FMF, ensuring timely reporting from agencies, and e</w:t>
      </w:r>
      <w:r w:rsidR="004B74B9">
        <w:t>nsuring timely outputs and updates to the online dashboard.</w:t>
      </w:r>
      <w:r w:rsidR="00464300">
        <w:t xml:space="preserve"> The steering committee is also responsible for issuing quarterly dashboard documents with narrative commentary on progress towards meeti</w:t>
      </w:r>
      <w:r w:rsidR="00C44B9E">
        <w:t>ng target indicators in Jordan.</w:t>
      </w:r>
    </w:p>
    <w:p w14:paraId="379A8CA6" w14:textId="77777777" w:rsidR="009F7CD4" w:rsidRDefault="009F7CD4" w:rsidP="006120CE"/>
    <w:p w14:paraId="466D42BE" w14:textId="7548CB81" w:rsidR="009F7CD4" w:rsidRPr="006120CE" w:rsidRDefault="009F7CD4" w:rsidP="006120CE">
      <w:pPr>
        <w:pStyle w:val="ListParagraph"/>
        <w:numPr>
          <w:ilvl w:val="0"/>
          <w:numId w:val="9"/>
        </w:numPr>
        <w:rPr>
          <w:b/>
        </w:rPr>
      </w:pPr>
      <w:r w:rsidRPr="006120CE">
        <w:rPr>
          <w:b/>
        </w:rPr>
        <w:t>Outcome Group Leads</w:t>
      </w:r>
    </w:p>
    <w:p w14:paraId="68A65960" w14:textId="77777777" w:rsidR="009F7CD4" w:rsidRDefault="009F7CD4" w:rsidP="009F7CD4">
      <w:pPr>
        <w:rPr>
          <w:b/>
        </w:rPr>
      </w:pPr>
    </w:p>
    <w:p w14:paraId="244FB96C" w14:textId="34804A83" w:rsidR="009F7CD4" w:rsidRDefault="009F7CD4" w:rsidP="006120CE">
      <w:pPr>
        <w:jc w:val="both"/>
      </w:pPr>
      <w:r>
        <w:t>For each outcome group of the forthcoming UNSDPF, one agency should be appointed as the lead agency on the steering committee. The focal person from this agency is responsible for formulation of indicators for the outcome group and ensuring quality of reporting under that outcome group, along with supporting agencies with reporting and implementing the FMF.</w:t>
      </w:r>
      <w:r w:rsidR="007A2658">
        <w:t xml:space="preserve"> </w:t>
      </w:r>
      <w:r w:rsidR="007E306A">
        <w:t>Certain specific indicators as agreed upon in the indicator matrix are collated and entered into the FMF platform at the outcome group level – the outcome group agency is responsible for this entry.</w:t>
      </w:r>
    </w:p>
    <w:p w14:paraId="4018C0CC" w14:textId="77777777" w:rsidR="009F7CD4" w:rsidRDefault="009F7CD4" w:rsidP="006120CE"/>
    <w:p w14:paraId="43500EBC" w14:textId="7EC25B57" w:rsidR="009F7CD4" w:rsidRPr="006120CE" w:rsidRDefault="009F7CD4" w:rsidP="006120CE">
      <w:pPr>
        <w:pStyle w:val="ListParagraph"/>
        <w:numPr>
          <w:ilvl w:val="0"/>
          <w:numId w:val="9"/>
        </w:numPr>
        <w:rPr>
          <w:b/>
        </w:rPr>
      </w:pPr>
      <w:r w:rsidRPr="006120CE">
        <w:rPr>
          <w:b/>
        </w:rPr>
        <w:t>Agency Focal Points</w:t>
      </w:r>
    </w:p>
    <w:p w14:paraId="71522C65" w14:textId="77777777" w:rsidR="009F7CD4" w:rsidRDefault="009F7CD4" w:rsidP="006120CE">
      <w:pPr>
        <w:rPr>
          <w:b/>
        </w:rPr>
      </w:pPr>
    </w:p>
    <w:p w14:paraId="14DF3DB5" w14:textId="5DC80347" w:rsidR="009F7CD4" w:rsidRDefault="009F7CD4" w:rsidP="006120CE">
      <w:pPr>
        <w:jc w:val="both"/>
      </w:pPr>
      <w:r>
        <w:t xml:space="preserve">A focal point within each agency should be appointed that </w:t>
      </w:r>
      <w:r w:rsidR="00336DF5">
        <w:t>is responsible for uploading agency data onto the online FMF platform.</w:t>
      </w:r>
      <w:r w:rsidR="004B74B9">
        <w:t xml:space="preserve"> The agency focal point is responsible for ensuring timely collection and centralisation of FMF data within the agency and uploading this data onto the online FMF platform, and attending steering committee meetings.</w:t>
      </w:r>
      <w:r w:rsidR="00E63386">
        <w:t xml:space="preserve"> Agency focal points use agreed upon sources of data to collate the data required for entry into the online dashboard.</w:t>
      </w:r>
    </w:p>
    <w:p w14:paraId="7985C436" w14:textId="77777777" w:rsidR="004B74B9" w:rsidRDefault="004B74B9" w:rsidP="006120CE"/>
    <w:p w14:paraId="78120A74" w14:textId="2AEAEF4A" w:rsidR="004B74B9" w:rsidRPr="00996DBF" w:rsidRDefault="004B74B9" w:rsidP="004B74B9">
      <w:pPr>
        <w:pStyle w:val="ListParagraph"/>
        <w:numPr>
          <w:ilvl w:val="0"/>
          <w:numId w:val="9"/>
        </w:numPr>
        <w:rPr>
          <w:b/>
        </w:rPr>
      </w:pPr>
      <w:r>
        <w:rPr>
          <w:b/>
        </w:rPr>
        <w:t>Technical Support</w:t>
      </w:r>
    </w:p>
    <w:p w14:paraId="6727FD13" w14:textId="77777777" w:rsidR="004B74B9" w:rsidRDefault="004B74B9" w:rsidP="004B74B9">
      <w:pPr>
        <w:rPr>
          <w:b/>
        </w:rPr>
      </w:pPr>
    </w:p>
    <w:p w14:paraId="1BC5386A" w14:textId="1C220BC4" w:rsidR="004B74B9" w:rsidRDefault="004B74B9" w:rsidP="006120CE">
      <w:r>
        <w:t>An agency</w:t>
      </w:r>
      <w:r w:rsidR="00E63386">
        <w:t xml:space="preserve"> or NGO</w:t>
      </w:r>
      <w:r>
        <w:t xml:space="preserve"> should be assigned to provide technical support to the </w:t>
      </w:r>
      <w:r w:rsidR="00E63386">
        <w:t>framework</w:t>
      </w:r>
      <w:r>
        <w:t xml:space="preserve"> including the online dashboard.</w:t>
      </w:r>
    </w:p>
    <w:p w14:paraId="4470D2EE" w14:textId="77777777" w:rsidR="004B74B9" w:rsidRDefault="004B74B9" w:rsidP="006120CE"/>
    <w:p w14:paraId="683BC961" w14:textId="77777777" w:rsidR="004B74B9" w:rsidRDefault="004B74B9" w:rsidP="004B74B9">
      <w:pPr>
        <w:rPr>
          <w:b/>
        </w:rPr>
      </w:pPr>
      <w:r w:rsidRPr="00996DBF">
        <w:rPr>
          <w:b/>
        </w:rPr>
        <w:t>Tools</w:t>
      </w:r>
    </w:p>
    <w:p w14:paraId="303FE143" w14:textId="77777777" w:rsidR="00BE63F6" w:rsidRDefault="00BE63F6" w:rsidP="004B74B9">
      <w:pPr>
        <w:rPr>
          <w:b/>
        </w:rPr>
      </w:pPr>
    </w:p>
    <w:p w14:paraId="1DB199D7" w14:textId="47285353" w:rsidR="00BE63F6" w:rsidRDefault="00BE63F6" w:rsidP="004B74B9">
      <w:r>
        <w:t>Three key tools have been developed by REACH that structure the Frequent Monitoring Framework and facilitate data gathering and presentation:</w:t>
      </w:r>
    </w:p>
    <w:p w14:paraId="514A57D5" w14:textId="77777777" w:rsidR="00BE63F6" w:rsidRDefault="00BE63F6" w:rsidP="004B74B9"/>
    <w:p w14:paraId="2C187679" w14:textId="5E237C03" w:rsidR="00BE63F6" w:rsidRDefault="00BE63F6" w:rsidP="004B74B9">
      <w:r w:rsidRPr="006120CE">
        <w:rPr>
          <w:b/>
        </w:rPr>
        <w:t>Indicator matrix:</w:t>
      </w:r>
      <w:r>
        <w:t xml:space="preserve"> Serves as the underlying, ‘backroom’ document of the FMF</w:t>
      </w:r>
    </w:p>
    <w:p w14:paraId="2E4E5AE1" w14:textId="4BC50F4B" w:rsidR="00BE63F6" w:rsidRDefault="00BE63F6" w:rsidP="004B74B9">
      <w:r w:rsidRPr="006120CE">
        <w:rPr>
          <w:b/>
        </w:rPr>
        <w:t>Online platform:</w:t>
      </w:r>
      <w:r>
        <w:t xml:space="preserve"> Facilitates data upload and tracking</w:t>
      </w:r>
    </w:p>
    <w:p w14:paraId="170F949D" w14:textId="61E89C4A" w:rsidR="00BE63F6" w:rsidRDefault="00BE63F6" w:rsidP="004B74B9">
      <w:r w:rsidRPr="006120CE">
        <w:rPr>
          <w:b/>
        </w:rPr>
        <w:t>Dashboard:</w:t>
      </w:r>
      <w:r>
        <w:t xml:space="preserve"> Presents data in a clear, outward facing manner</w:t>
      </w:r>
    </w:p>
    <w:p w14:paraId="711175A2" w14:textId="77777777" w:rsidR="00BE63F6" w:rsidRDefault="00BE63F6" w:rsidP="004B74B9"/>
    <w:p w14:paraId="45DAC9ED" w14:textId="75816F86" w:rsidR="00BE63F6" w:rsidRPr="006120CE" w:rsidRDefault="00BE63F6" w:rsidP="004B74B9">
      <w:r>
        <w:t>The tools are discussed in further detail below:</w:t>
      </w:r>
    </w:p>
    <w:p w14:paraId="197C78D0" w14:textId="77777777" w:rsidR="004B74B9" w:rsidRDefault="004B74B9" w:rsidP="004B74B9">
      <w:pPr>
        <w:rPr>
          <w:b/>
        </w:rPr>
      </w:pPr>
    </w:p>
    <w:p w14:paraId="710DB6E4" w14:textId="7DA8D1F6" w:rsidR="004B74B9" w:rsidRPr="00996DBF" w:rsidRDefault="004A585A" w:rsidP="004B74B9">
      <w:pPr>
        <w:pStyle w:val="ListParagraph"/>
        <w:numPr>
          <w:ilvl w:val="0"/>
          <w:numId w:val="9"/>
        </w:numPr>
        <w:rPr>
          <w:b/>
        </w:rPr>
      </w:pPr>
      <w:r>
        <w:rPr>
          <w:b/>
        </w:rPr>
        <w:t>Indicator Matrix</w:t>
      </w:r>
    </w:p>
    <w:p w14:paraId="362E3A92" w14:textId="77777777" w:rsidR="004B74B9" w:rsidRDefault="004B74B9" w:rsidP="004B74B9">
      <w:pPr>
        <w:rPr>
          <w:b/>
        </w:rPr>
      </w:pPr>
    </w:p>
    <w:p w14:paraId="430FB04E" w14:textId="711B2B77" w:rsidR="004A585A" w:rsidRDefault="004A585A" w:rsidP="004B74B9">
      <w:r>
        <w:t>The indicator matrix presented in Annex A serves as the guiding document for the FMF, providing structure to the data gathering. The indicator matrix presents, grouped by outcome group:</w:t>
      </w:r>
    </w:p>
    <w:p w14:paraId="6D4AFEBB" w14:textId="77777777" w:rsidR="004A585A" w:rsidRDefault="004A585A" w:rsidP="004B74B9"/>
    <w:p w14:paraId="3A5F64D9" w14:textId="09CEF2A3" w:rsidR="004A585A" w:rsidRDefault="004A585A" w:rsidP="006120CE">
      <w:pPr>
        <w:pStyle w:val="ListParagraph"/>
        <w:numPr>
          <w:ilvl w:val="0"/>
          <w:numId w:val="9"/>
        </w:numPr>
      </w:pPr>
      <w:r w:rsidRPr="006120CE">
        <w:rPr>
          <w:b/>
        </w:rPr>
        <w:t>Indicator:</w:t>
      </w:r>
      <w:r>
        <w:t xml:space="preserve"> The specific indicator itself</w:t>
      </w:r>
    </w:p>
    <w:p w14:paraId="4D8F341C" w14:textId="35378182" w:rsidR="004A585A" w:rsidRDefault="004A585A" w:rsidP="006120CE">
      <w:pPr>
        <w:pStyle w:val="ListParagraph"/>
        <w:numPr>
          <w:ilvl w:val="0"/>
          <w:numId w:val="9"/>
        </w:numPr>
      </w:pPr>
      <w:r w:rsidRPr="006120CE">
        <w:rPr>
          <w:b/>
        </w:rPr>
        <w:t>Indicator explanation:</w:t>
      </w:r>
      <w:r>
        <w:t xml:space="preserve"> A glossary providing further definitions where necessary</w:t>
      </w:r>
    </w:p>
    <w:p w14:paraId="16B4E811" w14:textId="439F6EF6" w:rsidR="004A585A" w:rsidRDefault="004A585A" w:rsidP="006120CE">
      <w:pPr>
        <w:pStyle w:val="ListParagraph"/>
        <w:numPr>
          <w:ilvl w:val="0"/>
          <w:numId w:val="9"/>
        </w:numPr>
      </w:pPr>
      <w:r w:rsidRPr="006120CE">
        <w:rPr>
          <w:b/>
        </w:rPr>
        <w:t xml:space="preserve">Unit: </w:t>
      </w:r>
      <w:r>
        <w:t>The basic unit of counting for the indicator</w:t>
      </w:r>
    </w:p>
    <w:p w14:paraId="2D702DF2" w14:textId="61D57369" w:rsidR="004A585A" w:rsidRDefault="004A585A" w:rsidP="006120CE">
      <w:pPr>
        <w:pStyle w:val="ListParagraph"/>
        <w:numPr>
          <w:ilvl w:val="0"/>
          <w:numId w:val="9"/>
        </w:numPr>
      </w:pPr>
      <w:r w:rsidRPr="006120CE">
        <w:rPr>
          <w:b/>
        </w:rPr>
        <w:t>Disaggregation:</w:t>
      </w:r>
      <w:r>
        <w:t xml:space="preserve"> Any lines of disaggregation for the indicator, such as gender, age, location, sector</w:t>
      </w:r>
    </w:p>
    <w:p w14:paraId="1D946AE4" w14:textId="743DD778" w:rsidR="004A585A" w:rsidRDefault="004A585A" w:rsidP="006120CE">
      <w:pPr>
        <w:pStyle w:val="ListParagraph"/>
        <w:numPr>
          <w:ilvl w:val="0"/>
          <w:numId w:val="9"/>
        </w:numPr>
      </w:pPr>
      <w:r w:rsidRPr="006120CE">
        <w:rPr>
          <w:b/>
        </w:rPr>
        <w:t>Source:</w:t>
      </w:r>
      <w:r>
        <w:t xml:space="preserve"> The agreed on source for the indicator, such as DoS figures, UN agency figures</w:t>
      </w:r>
    </w:p>
    <w:p w14:paraId="43E2F0D4" w14:textId="621A3753" w:rsidR="004A585A" w:rsidRDefault="004A585A" w:rsidP="006120CE">
      <w:pPr>
        <w:pStyle w:val="ListParagraph"/>
        <w:numPr>
          <w:ilvl w:val="0"/>
          <w:numId w:val="9"/>
        </w:numPr>
      </w:pPr>
      <w:r w:rsidRPr="006120CE">
        <w:rPr>
          <w:b/>
        </w:rPr>
        <w:t>Data collection source:</w:t>
      </w:r>
      <w:r>
        <w:t xml:space="preserve"> The specific agreed upon source of the data to be collected</w:t>
      </w:r>
    </w:p>
    <w:p w14:paraId="5DC551F8" w14:textId="77777777" w:rsidR="004A585A" w:rsidRDefault="004A585A" w:rsidP="004B74B9"/>
    <w:p w14:paraId="573395FC" w14:textId="0DFEB700" w:rsidR="004B74B9" w:rsidRDefault="004B74B9" w:rsidP="006120CE">
      <w:pPr>
        <w:jc w:val="both"/>
      </w:pPr>
      <w:r>
        <w:t>Specific indicators have been developed for the monitoring of the current UN(D)AF. These include a mix of current UN(D)AF indicators – although many of these were found not to be relevant to the programming of many agencies. Other indicators were developed during the course of the workshop held with agencies. Indicators for the upcoming UNSDPF should be developed in line with UNSDPF indicator development, allowing scope for additional indicators to be developed as well. A proposed set of indicators, currently in use for the online platform, is presented in Annex 1. However, once SDPF indicators are finalised the FMF steering committee should then move to finalised the indicators to be monitored for the 2018-2022 UNSDPF.</w:t>
      </w:r>
    </w:p>
    <w:p w14:paraId="22B1A7AF" w14:textId="77777777" w:rsidR="00A259CF" w:rsidRDefault="00A259CF" w:rsidP="006120CE">
      <w:pPr>
        <w:jc w:val="both"/>
      </w:pPr>
    </w:p>
    <w:p w14:paraId="3E89B7FF" w14:textId="49E34D38" w:rsidR="00A259CF" w:rsidRPr="006120CE" w:rsidRDefault="00A259CF" w:rsidP="006120CE">
      <w:pPr>
        <w:jc w:val="both"/>
      </w:pPr>
      <w:r>
        <w:t xml:space="preserve">The indicators currently presented in the FMF were </w:t>
      </w:r>
      <w:r w:rsidR="00FF461E">
        <w:t xml:space="preserve">agreed upon in the course of a workshop around the Frequent Monitoring Framework. The workshop built buy-in the indicators and aimed to ensure that data is available. </w:t>
      </w:r>
    </w:p>
    <w:p w14:paraId="58A97411" w14:textId="77777777" w:rsidR="004B74B9" w:rsidRDefault="004B74B9" w:rsidP="004B74B9">
      <w:pPr>
        <w:rPr>
          <w:b/>
        </w:rPr>
      </w:pPr>
    </w:p>
    <w:p w14:paraId="77D6843E" w14:textId="77777777" w:rsidR="004B74B9" w:rsidRDefault="004B74B9" w:rsidP="004B74B9">
      <w:pPr>
        <w:pStyle w:val="ListParagraph"/>
        <w:numPr>
          <w:ilvl w:val="0"/>
          <w:numId w:val="9"/>
        </w:numPr>
        <w:rPr>
          <w:b/>
        </w:rPr>
      </w:pPr>
      <w:r>
        <w:rPr>
          <w:b/>
        </w:rPr>
        <w:t>Online FMF Platform</w:t>
      </w:r>
    </w:p>
    <w:p w14:paraId="7B9C3714" w14:textId="77777777" w:rsidR="004B74B9" w:rsidRDefault="004B74B9" w:rsidP="004B74B9">
      <w:pPr>
        <w:rPr>
          <w:b/>
        </w:rPr>
      </w:pPr>
    </w:p>
    <w:p w14:paraId="32FA0482" w14:textId="7B5FA28E" w:rsidR="004B74B9" w:rsidRPr="00996DBF" w:rsidRDefault="004B74B9" w:rsidP="006120CE">
      <w:pPr>
        <w:jc w:val="both"/>
        <w:rPr>
          <w:b/>
        </w:rPr>
      </w:pPr>
      <w:r>
        <w:t xml:space="preserve">An online platform </w:t>
      </w:r>
      <w:r w:rsidRPr="001F0DA2">
        <w:rPr>
          <w:b/>
        </w:rPr>
        <w:t>has</w:t>
      </w:r>
      <w:r>
        <w:t xml:space="preserve"> been developed by REACH using indicators that have been developed for the monitoring of the current UN(D)AF. The platform allows the real-time uploading and visualisation of data. The platform presents only those indicators relevant to each agency and at specific reporting periods. An automated email request is sent to each agency focal point when their indicators require updating at the specified period (monthly, quarterly, or annually). The platform automatically generates and updates an online dashboard, which is discussed below.</w:t>
      </w:r>
    </w:p>
    <w:p w14:paraId="6247CF31" w14:textId="77777777" w:rsidR="004B74B9" w:rsidRDefault="004B74B9" w:rsidP="004B74B9"/>
    <w:p w14:paraId="77E47F76" w14:textId="7485CB2F" w:rsidR="004B74B9" w:rsidRPr="006120CE" w:rsidRDefault="004B74B9" w:rsidP="006120CE">
      <w:pPr>
        <w:pStyle w:val="ListParagraph"/>
        <w:numPr>
          <w:ilvl w:val="0"/>
          <w:numId w:val="9"/>
        </w:numPr>
        <w:rPr>
          <w:b/>
        </w:rPr>
      </w:pPr>
      <w:r w:rsidRPr="006120CE">
        <w:rPr>
          <w:b/>
        </w:rPr>
        <w:t>Dashboard</w:t>
      </w:r>
    </w:p>
    <w:p w14:paraId="1EEC1235" w14:textId="77777777" w:rsidR="004B74B9" w:rsidRDefault="004B74B9"/>
    <w:p w14:paraId="5B8D43D5" w14:textId="2A7F6BC5" w:rsidR="004B74B9" w:rsidRPr="00996DBF" w:rsidRDefault="004B74B9" w:rsidP="006120CE">
      <w:pPr>
        <w:jc w:val="both"/>
      </w:pPr>
      <w:r>
        <w:t xml:space="preserve">Printed dashboards were developed for the previous two rounds of UN(D)AF monitoring, however these faced a number of challenges as discussed above mainly with the comparability and coherency of data. The online dashboard presents a solution to this as it is updated automatically and data is entered in a controlled format. </w:t>
      </w:r>
    </w:p>
    <w:p w14:paraId="10D2E827" w14:textId="77777777" w:rsidR="00336DF5" w:rsidRDefault="00336DF5" w:rsidP="006120CE"/>
    <w:p w14:paraId="1259570F" w14:textId="6F54BE79" w:rsidR="00DE1518" w:rsidRDefault="00DE1518" w:rsidP="006120CE">
      <w:pPr>
        <w:rPr>
          <w:b/>
        </w:rPr>
      </w:pPr>
      <w:r>
        <w:rPr>
          <w:b/>
        </w:rPr>
        <w:t>Data Gathering</w:t>
      </w:r>
    </w:p>
    <w:p w14:paraId="086D975F" w14:textId="77777777" w:rsidR="00DE1518" w:rsidRDefault="00DE1518" w:rsidP="006120CE">
      <w:pPr>
        <w:rPr>
          <w:b/>
        </w:rPr>
      </w:pPr>
    </w:p>
    <w:p w14:paraId="211C132E" w14:textId="0A65624E" w:rsidR="00DE1518" w:rsidRDefault="00DE1518" w:rsidP="006120CE">
      <w:r>
        <w:t xml:space="preserve">Data gathering is the primary responsibility of agency focal points and sector lead agencies. </w:t>
      </w:r>
      <w:r w:rsidR="00A8082F">
        <w:t>Effective and efficient data gathering should involve:</w:t>
      </w:r>
    </w:p>
    <w:p w14:paraId="23D7019B" w14:textId="77777777" w:rsidR="00A8082F" w:rsidRDefault="00A8082F" w:rsidP="006120CE"/>
    <w:p w14:paraId="6E790E1B" w14:textId="13088B22" w:rsidR="00A8082F" w:rsidRDefault="00BD7454" w:rsidP="006120CE">
      <w:pPr>
        <w:pStyle w:val="ListParagraph"/>
        <w:numPr>
          <w:ilvl w:val="0"/>
          <w:numId w:val="9"/>
        </w:numPr>
      </w:pPr>
      <w:r>
        <w:t>Agreed upon data collections timeframes and tools</w:t>
      </w:r>
      <w:r w:rsidR="00383348">
        <w:t>. It is preferable for the tool to allow data collection as close</w:t>
      </w:r>
      <w:r w:rsidR="00FF461E">
        <w:t xml:space="preserve"> to the field level as </w:t>
      </w:r>
      <w:r w:rsidR="006120CE">
        <w:t>possible for output indicators, with programme staff aggregating data and providing it to the agency focal point.</w:t>
      </w:r>
    </w:p>
    <w:p w14:paraId="22A7DE25" w14:textId="36A1C3DC" w:rsidR="006120CE" w:rsidRDefault="00383348" w:rsidP="00307E6F">
      <w:pPr>
        <w:pStyle w:val="ListParagraph"/>
        <w:numPr>
          <w:ilvl w:val="0"/>
          <w:numId w:val="9"/>
        </w:numPr>
      </w:pPr>
      <w:r>
        <w:t>Where possible data collection should use existing sources of data such as DoS figures. The sector lead agency should be responsible for updating these figures were they are used.</w:t>
      </w:r>
    </w:p>
    <w:p w14:paraId="1832E886" w14:textId="1202FA86" w:rsidR="006120CE" w:rsidRDefault="006120CE" w:rsidP="00307E6F">
      <w:pPr>
        <w:pStyle w:val="ListParagraph"/>
        <w:numPr>
          <w:ilvl w:val="0"/>
          <w:numId w:val="9"/>
        </w:numPr>
      </w:pPr>
      <w:r>
        <w:t>Data c</w:t>
      </w:r>
      <w:r w:rsidR="009B6F8D">
        <w:t>ollection should aim to be standardised across all agencies, with agreed upon tools and sampling methods used to collect data. Agencies should focus on specific areas of strength, with for example FAO collecting data on agricultural land use and WFP collecting data on nutrition from feeding centres.</w:t>
      </w:r>
    </w:p>
    <w:p w14:paraId="76E39833" w14:textId="77777777" w:rsidR="006120CE" w:rsidRDefault="006120CE" w:rsidP="006120CE">
      <w:pPr>
        <w:ind w:left="360"/>
      </w:pPr>
    </w:p>
    <w:p w14:paraId="6D10F908" w14:textId="5E95DF3B" w:rsidR="006120CE" w:rsidRPr="006120CE" w:rsidRDefault="006120CE" w:rsidP="006120CE">
      <w:pPr>
        <w:rPr>
          <w:b/>
        </w:rPr>
      </w:pPr>
      <w:r>
        <w:rPr>
          <w:b/>
        </w:rPr>
        <w:t>Next Steps</w:t>
      </w:r>
    </w:p>
    <w:p w14:paraId="091C727A" w14:textId="77777777" w:rsidR="00B67E02" w:rsidRDefault="00B67E02">
      <w:pPr>
        <w:spacing w:before="0" w:after="0"/>
      </w:pPr>
    </w:p>
    <w:p w14:paraId="6352E645" w14:textId="3091BA12" w:rsidR="00DC0D3A" w:rsidRDefault="00DC0D3A">
      <w:pPr>
        <w:spacing w:before="0" w:after="0"/>
      </w:pPr>
      <w:r>
        <w:t>There are a number of steps that could be taken to develop the FMF beyond the scope of the current project.  Further steps that would be beneficial include:</w:t>
      </w:r>
    </w:p>
    <w:p w14:paraId="6774338D" w14:textId="77777777" w:rsidR="006120CE" w:rsidRDefault="006120CE">
      <w:pPr>
        <w:spacing w:before="0" w:after="0"/>
      </w:pPr>
    </w:p>
    <w:p w14:paraId="619C1862" w14:textId="6328107E" w:rsidR="00DC0D3A" w:rsidRDefault="00DC0D3A" w:rsidP="006120CE">
      <w:pPr>
        <w:pStyle w:val="ListParagraph"/>
        <w:numPr>
          <w:ilvl w:val="0"/>
          <w:numId w:val="9"/>
        </w:numPr>
        <w:spacing w:before="0" w:after="0"/>
        <w:sectPr w:rsidR="00DC0D3A" w:rsidSect="00114811">
          <w:footerReference w:type="even" r:id="rId8"/>
          <w:footerReference w:type="default" r:id="rId9"/>
          <w:footerReference w:type="first" r:id="rId10"/>
          <w:pgSz w:w="11900" w:h="16840"/>
          <w:pgMar w:top="993" w:right="1080" w:bottom="1843" w:left="1080" w:header="720" w:footer="757" w:gutter="0"/>
          <w:cols w:space="720"/>
          <w:docGrid w:linePitch="360"/>
        </w:sectPr>
      </w:pPr>
      <w:r>
        <w:t xml:space="preserve">Developing platforms to allow more direct beneficiary feedback, such as SMS feedback </w:t>
      </w:r>
      <w:r w:rsidR="006120CE">
        <w:t>or an app allowing direct input</w:t>
      </w:r>
    </w:p>
    <w:p w14:paraId="1383F093" w14:textId="77777777" w:rsidR="00B67E02" w:rsidRPr="00DE1518" w:rsidRDefault="00B67E02" w:rsidP="006120CE"/>
    <w:p w14:paraId="0E24A8B6" w14:textId="7C72E3B0" w:rsidR="00B67E02" w:rsidRDefault="00336DF5" w:rsidP="00B67E02">
      <w:pPr>
        <w:pStyle w:val="Greytitle"/>
      </w:pPr>
      <w:r>
        <w:t xml:space="preserve"> </w:t>
      </w:r>
      <w:r w:rsidR="006120CE">
        <w:t>Annex: A</w:t>
      </w:r>
    </w:p>
    <w:p w14:paraId="3CB11CAC" w14:textId="2A0187F2" w:rsidR="00336DF5" w:rsidRDefault="00336DF5" w:rsidP="006120CE"/>
    <w:tbl>
      <w:tblPr>
        <w:tblW w:w="5000" w:type="pct"/>
        <w:tblLayout w:type="fixed"/>
        <w:tblLook w:val="04A0" w:firstRow="1" w:lastRow="0" w:firstColumn="1" w:lastColumn="0" w:noHBand="0" w:noVBand="1"/>
      </w:tblPr>
      <w:tblGrid>
        <w:gridCol w:w="1317"/>
        <w:gridCol w:w="2492"/>
        <w:gridCol w:w="2416"/>
        <w:gridCol w:w="1561"/>
        <w:gridCol w:w="2126"/>
        <w:gridCol w:w="1136"/>
        <w:gridCol w:w="1275"/>
        <w:gridCol w:w="1661"/>
      </w:tblGrid>
      <w:tr w:rsidR="00B67E02" w:rsidRPr="00B67E02" w14:paraId="019FE130" w14:textId="77777777" w:rsidTr="006120CE">
        <w:trPr>
          <w:trHeight w:val="390"/>
        </w:trPr>
        <w:tc>
          <w:tcPr>
            <w:tcW w:w="471"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6928B077"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UNAF Outcome</w:t>
            </w:r>
          </w:p>
        </w:tc>
        <w:tc>
          <w:tcPr>
            <w:tcW w:w="891"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5906C069"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Indicator*</w:t>
            </w:r>
          </w:p>
        </w:tc>
        <w:tc>
          <w:tcPr>
            <w:tcW w:w="864"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73106DA8"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Data source</w:t>
            </w:r>
          </w:p>
        </w:tc>
        <w:tc>
          <w:tcPr>
            <w:tcW w:w="558"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584BCD5A"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UN Agency with access</w:t>
            </w:r>
          </w:p>
        </w:tc>
        <w:tc>
          <w:tcPr>
            <w:tcW w:w="760"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6F11D154"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Means of verification</w:t>
            </w:r>
          </w:p>
        </w:tc>
        <w:tc>
          <w:tcPr>
            <w:tcW w:w="406"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19988957"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Frequency</w:t>
            </w:r>
          </w:p>
        </w:tc>
        <w:tc>
          <w:tcPr>
            <w:tcW w:w="456"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0BD991F8"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Geographic Scope</w:t>
            </w:r>
          </w:p>
        </w:tc>
        <w:tc>
          <w:tcPr>
            <w:tcW w:w="594" w:type="pct"/>
            <w:vMerge w:val="restart"/>
            <w:tcBorders>
              <w:top w:val="single" w:sz="8" w:space="0" w:color="auto"/>
              <w:left w:val="single" w:sz="8" w:space="0" w:color="auto"/>
              <w:bottom w:val="single" w:sz="8" w:space="0" w:color="000000"/>
              <w:right w:val="single" w:sz="8" w:space="0" w:color="auto"/>
            </w:tcBorders>
            <w:shd w:val="clear" w:color="000000" w:fill="58595A"/>
            <w:vAlign w:val="center"/>
            <w:hideMark/>
          </w:tcPr>
          <w:p w14:paraId="34C195E2"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Disaggregation (lowest level of representation)</w:t>
            </w:r>
          </w:p>
        </w:tc>
      </w:tr>
      <w:tr w:rsidR="00B67E02" w:rsidRPr="00B67E02" w14:paraId="00178E98" w14:textId="77777777" w:rsidTr="006120CE">
        <w:trPr>
          <w:trHeight w:val="252"/>
        </w:trPr>
        <w:tc>
          <w:tcPr>
            <w:tcW w:w="471" w:type="pct"/>
            <w:vMerge/>
            <w:tcBorders>
              <w:top w:val="single" w:sz="8" w:space="0" w:color="auto"/>
              <w:left w:val="single" w:sz="8" w:space="0" w:color="auto"/>
              <w:bottom w:val="single" w:sz="8" w:space="0" w:color="000000"/>
              <w:right w:val="single" w:sz="8" w:space="0" w:color="auto"/>
            </w:tcBorders>
            <w:vAlign w:val="center"/>
            <w:hideMark/>
          </w:tcPr>
          <w:p w14:paraId="6D8E98FF" w14:textId="77777777" w:rsidR="00B67E02" w:rsidRPr="00B67E02" w:rsidRDefault="00B67E02" w:rsidP="00B67E02">
            <w:pPr>
              <w:spacing w:before="0" w:after="0"/>
              <w:rPr>
                <w:rFonts w:eastAsia="Times New Roman"/>
                <w:b/>
                <w:bCs/>
                <w:color w:val="FFFFFF"/>
                <w:lang w:eastAsia="en-GB"/>
              </w:rPr>
            </w:pPr>
          </w:p>
        </w:tc>
        <w:tc>
          <w:tcPr>
            <w:tcW w:w="891" w:type="pct"/>
            <w:vMerge/>
            <w:tcBorders>
              <w:top w:val="single" w:sz="8" w:space="0" w:color="auto"/>
              <w:left w:val="single" w:sz="8" w:space="0" w:color="auto"/>
              <w:bottom w:val="single" w:sz="8" w:space="0" w:color="000000"/>
              <w:right w:val="single" w:sz="8" w:space="0" w:color="auto"/>
            </w:tcBorders>
            <w:vAlign w:val="center"/>
            <w:hideMark/>
          </w:tcPr>
          <w:p w14:paraId="12904F13" w14:textId="77777777" w:rsidR="00B67E02" w:rsidRPr="00B67E02" w:rsidRDefault="00B67E02" w:rsidP="00B67E02">
            <w:pPr>
              <w:spacing w:before="0" w:after="0"/>
              <w:rPr>
                <w:rFonts w:eastAsia="Times New Roman"/>
                <w:b/>
                <w:bCs/>
                <w:color w:val="FFFFFF"/>
                <w:lang w:eastAsia="en-GB"/>
              </w:rPr>
            </w:pPr>
          </w:p>
        </w:tc>
        <w:tc>
          <w:tcPr>
            <w:tcW w:w="864" w:type="pct"/>
            <w:vMerge/>
            <w:tcBorders>
              <w:top w:val="single" w:sz="8" w:space="0" w:color="auto"/>
              <w:left w:val="single" w:sz="8" w:space="0" w:color="auto"/>
              <w:bottom w:val="single" w:sz="8" w:space="0" w:color="000000"/>
              <w:right w:val="single" w:sz="8" w:space="0" w:color="auto"/>
            </w:tcBorders>
            <w:vAlign w:val="center"/>
            <w:hideMark/>
          </w:tcPr>
          <w:p w14:paraId="4536423A" w14:textId="77777777" w:rsidR="00B67E02" w:rsidRPr="00B67E02" w:rsidRDefault="00B67E02" w:rsidP="00B67E02">
            <w:pPr>
              <w:spacing w:before="0" w:after="0"/>
              <w:rPr>
                <w:rFonts w:eastAsia="Times New Roman"/>
                <w:b/>
                <w:bCs/>
                <w:color w:val="FFFFFF"/>
                <w:lang w:eastAsia="en-GB"/>
              </w:rPr>
            </w:pPr>
          </w:p>
        </w:tc>
        <w:tc>
          <w:tcPr>
            <w:tcW w:w="558" w:type="pct"/>
            <w:vMerge/>
            <w:tcBorders>
              <w:top w:val="single" w:sz="8" w:space="0" w:color="auto"/>
              <w:left w:val="single" w:sz="8" w:space="0" w:color="auto"/>
              <w:bottom w:val="single" w:sz="8" w:space="0" w:color="000000"/>
              <w:right w:val="single" w:sz="8" w:space="0" w:color="auto"/>
            </w:tcBorders>
            <w:vAlign w:val="center"/>
            <w:hideMark/>
          </w:tcPr>
          <w:p w14:paraId="4D9778FF" w14:textId="77777777" w:rsidR="00B67E02" w:rsidRPr="00B67E02" w:rsidRDefault="00B67E02" w:rsidP="00B67E02">
            <w:pPr>
              <w:spacing w:before="0" w:after="0"/>
              <w:rPr>
                <w:rFonts w:eastAsia="Times New Roman"/>
                <w:b/>
                <w:bCs/>
                <w:color w:val="FFFFFF"/>
                <w:lang w:eastAsia="en-GB"/>
              </w:rPr>
            </w:pPr>
          </w:p>
        </w:tc>
        <w:tc>
          <w:tcPr>
            <w:tcW w:w="760" w:type="pct"/>
            <w:vMerge/>
            <w:tcBorders>
              <w:top w:val="single" w:sz="8" w:space="0" w:color="auto"/>
              <w:left w:val="single" w:sz="8" w:space="0" w:color="auto"/>
              <w:bottom w:val="single" w:sz="8" w:space="0" w:color="000000"/>
              <w:right w:val="single" w:sz="8" w:space="0" w:color="auto"/>
            </w:tcBorders>
            <w:vAlign w:val="center"/>
            <w:hideMark/>
          </w:tcPr>
          <w:p w14:paraId="4709A4E1" w14:textId="77777777" w:rsidR="00B67E02" w:rsidRPr="00B67E02" w:rsidRDefault="00B67E02" w:rsidP="00B67E02">
            <w:pPr>
              <w:spacing w:before="0" w:after="0"/>
              <w:rPr>
                <w:rFonts w:eastAsia="Times New Roman"/>
                <w:b/>
                <w:bCs/>
                <w:color w:val="FFFFFF"/>
                <w:lang w:eastAsia="en-GB"/>
              </w:rPr>
            </w:pPr>
          </w:p>
        </w:tc>
        <w:tc>
          <w:tcPr>
            <w:tcW w:w="406" w:type="pct"/>
            <w:vMerge/>
            <w:tcBorders>
              <w:top w:val="single" w:sz="8" w:space="0" w:color="auto"/>
              <w:left w:val="single" w:sz="8" w:space="0" w:color="auto"/>
              <w:bottom w:val="single" w:sz="8" w:space="0" w:color="000000"/>
              <w:right w:val="single" w:sz="8" w:space="0" w:color="auto"/>
            </w:tcBorders>
            <w:vAlign w:val="center"/>
            <w:hideMark/>
          </w:tcPr>
          <w:p w14:paraId="58072833" w14:textId="77777777" w:rsidR="00B67E02" w:rsidRPr="00B67E02" w:rsidRDefault="00B67E02" w:rsidP="00B67E02">
            <w:pPr>
              <w:spacing w:before="0" w:after="0"/>
              <w:rPr>
                <w:rFonts w:eastAsia="Times New Roman"/>
                <w:b/>
                <w:bCs/>
                <w:color w:val="FFFFFF"/>
                <w:lang w:eastAsia="en-GB"/>
              </w:rPr>
            </w:pPr>
          </w:p>
        </w:tc>
        <w:tc>
          <w:tcPr>
            <w:tcW w:w="456" w:type="pct"/>
            <w:vMerge/>
            <w:tcBorders>
              <w:top w:val="single" w:sz="8" w:space="0" w:color="auto"/>
              <w:left w:val="single" w:sz="8" w:space="0" w:color="auto"/>
              <w:bottom w:val="single" w:sz="8" w:space="0" w:color="000000"/>
              <w:right w:val="single" w:sz="8" w:space="0" w:color="auto"/>
            </w:tcBorders>
            <w:vAlign w:val="center"/>
            <w:hideMark/>
          </w:tcPr>
          <w:p w14:paraId="259E0BEA" w14:textId="77777777" w:rsidR="00B67E02" w:rsidRPr="00B67E02" w:rsidRDefault="00B67E02" w:rsidP="00B67E02">
            <w:pPr>
              <w:spacing w:before="0" w:after="0"/>
              <w:rPr>
                <w:rFonts w:eastAsia="Times New Roman"/>
                <w:b/>
                <w:bCs/>
                <w:color w:val="FFFFFF"/>
                <w:lang w:eastAsia="en-GB"/>
              </w:rPr>
            </w:pPr>
          </w:p>
        </w:tc>
        <w:tc>
          <w:tcPr>
            <w:tcW w:w="594" w:type="pct"/>
            <w:vMerge/>
            <w:tcBorders>
              <w:top w:val="single" w:sz="8" w:space="0" w:color="auto"/>
              <w:left w:val="single" w:sz="8" w:space="0" w:color="auto"/>
              <w:bottom w:val="single" w:sz="8" w:space="0" w:color="000000"/>
              <w:right w:val="single" w:sz="8" w:space="0" w:color="auto"/>
            </w:tcBorders>
            <w:vAlign w:val="center"/>
            <w:hideMark/>
          </w:tcPr>
          <w:p w14:paraId="3B3BCC40" w14:textId="77777777" w:rsidR="00B67E02" w:rsidRPr="00B67E02" w:rsidRDefault="00B67E02" w:rsidP="00B67E02">
            <w:pPr>
              <w:spacing w:before="0" w:after="0"/>
              <w:rPr>
                <w:rFonts w:eastAsia="Times New Roman"/>
                <w:b/>
                <w:bCs/>
                <w:color w:val="FFFFFF"/>
                <w:lang w:eastAsia="en-GB"/>
              </w:rPr>
            </w:pPr>
          </w:p>
        </w:tc>
      </w:tr>
      <w:tr w:rsidR="00B67E02" w:rsidRPr="00B67E02" w14:paraId="038D769B" w14:textId="77777777" w:rsidTr="006120CE">
        <w:trPr>
          <w:trHeight w:val="982"/>
        </w:trPr>
        <w:tc>
          <w:tcPr>
            <w:tcW w:w="471" w:type="pct"/>
            <w:vMerge w:val="restart"/>
            <w:tcBorders>
              <w:top w:val="nil"/>
              <w:left w:val="single" w:sz="8" w:space="0" w:color="auto"/>
              <w:bottom w:val="single" w:sz="8" w:space="0" w:color="000000"/>
              <w:right w:val="single" w:sz="8" w:space="0" w:color="auto"/>
            </w:tcBorders>
            <w:shd w:val="clear" w:color="000000" w:fill="EE5859"/>
            <w:vAlign w:val="center"/>
            <w:hideMark/>
          </w:tcPr>
          <w:p w14:paraId="22C5FA71"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Outcome  1 - Enhancing Systemic Reform</w:t>
            </w:r>
          </w:p>
        </w:tc>
        <w:tc>
          <w:tcPr>
            <w:tcW w:w="891" w:type="pct"/>
            <w:tcBorders>
              <w:top w:val="nil"/>
              <w:left w:val="single" w:sz="4" w:space="0" w:color="auto"/>
              <w:bottom w:val="single" w:sz="4" w:space="0" w:color="auto"/>
              <w:right w:val="single" w:sz="4" w:space="0" w:color="auto"/>
            </w:tcBorders>
            <w:shd w:val="clear" w:color="000000" w:fill="FFFFFF"/>
            <w:vAlign w:val="center"/>
            <w:hideMark/>
          </w:tcPr>
          <w:p w14:paraId="202594C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xml:space="preserve"># of trainings provided to enhance government capacities </w:t>
            </w:r>
          </w:p>
        </w:tc>
        <w:tc>
          <w:tcPr>
            <w:tcW w:w="864" w:type="pct"/>
            <w:tcBorders>
              <w:top w:val="nil"/>
              <w:left w:val="nil"/>
              <w:bottom w:val="single" w:sz="4" w:space="0" w:color="auto"/>
              <w:right w:val="single" w:sz="4" w:space="0" w:color="auto"/>
            </w:tcBorders>
            <w:shd w:val="clear" w:color="auto" w:fill="auto"/>
            <w:vAlign w:val="center"/>
            <w:hideMark/>
          </w:tcPr>
          <w:p w14:paraId="5CC846B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Agencies providing training records</w:t>
            </w:r>
          </w:p>
        </w:tc>
        <w:tc>
          <w:tcPr>
            <w:tcW w:w="558" w:type="pct"/>
            <w:tcBorders>
              <w:top w:val="nil"/>
              <w:left w:val="nil"/>
              <w:bottom w:val="single" w:sz="4" w:space="0" w:color="auto"/>
              <w:right w:val="single" w:sz="4" w:space="0" w:color="auto"/>
            </w:tcBorders>
            <w:shd w:val="clear" w:color="000000" w:fill="FFFFFF"/>
            <w:vAlign w:val="center"/>
            <w:hideMark/>
          </w:tcPr>
          <w:p w14:paraId="0A4EBB5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UNDP, UN Women</w:t>
            </w:r>
          </w:p>
        </w:tc>
        <w:tc>
          <w:tcPr>
            <w:tcW w:w="760" w:type="pct"/>
            <w:tcBorders>
              <w:top w:val="nil"/>
              <w:left w:val="nil"/>
              <w:bottom w:val="single" w:sz="4" w:space="0" w:color="auto"/>
              <w:right w:val="single" w:sz="4" w:space="0" w:color="auto"/>
            </w:tcBorders>
            <w:shd w:val="clear" w:color="auto" w:fill="auto"/>
            <w:vAlign w:val="center"/>
            <w:hideMark/>
          </w:tcPr>
          <w:p w14:paraId="0974F98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Training records, photos, attendence lists</w:t>
            </w:r>
          </w:p>
        </w:tc>
        <w:tc>
          <w:tcPr>
            <w:tcW w:w="406" w:type="pct"/>
            <w:tcBorders>
              <w:top w:val="nil"/>
              <w:left w:val="nil"/>
              <w:bottom w:val="single" w:sz="4" w:space="0" w:color="auto"/>
              <w:right w:val="single" w:sz="4" w:space="0" w:color="auto"/>
            </w:tcBorders>
            <w:shd w:val="clear" w:color="auto" w:fill="auto"/>
            <w:vAlign w:val="center"/>
            <w:hideMark/>
          </w:tcPr>
          <w:p w14:paraId="6795877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6E7B78E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Nationwide</w:t>
            </w:r>
          </w:p>
        </w:tc>
        <w:tc>
          <w:tcPr>
            <w:tcW w:w="594" w:type="pct"/>
            <w:tcBorders>
              <w:top w:val="nil"/>
              <w:left w:val="nil"/>
              <w:bottom w:val="single" w:sz="4" w:space="0" w:color="auto"/>
              <w:right w:val="single" w:sz="8" w:space="0" w:color="auto"/>
            </w:tcBorders>
            <w:shd w:val="clear" w:color="auto" w:fill="auto"/>
            <w:vAlign w:val="center"/>
            <w:hideMark/>
          </w:tcPr>
          <w:p w14:paraId="11DA6CD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Line ministries, local authorities, geographic units</w:t>
            </w:r>
          </w:p>
        </w:tc>
      </w:tr>
      <w:tr w:rsidR="00B67E02" w:rsidRPr="00B67E02" w14:paraId="08328584" w14:textId="77777777" w:rsidTr="006120CE">
        <w:trPr>
          <w:trHeight w:val="972"/>
        </w:trPr>
        <w:tc>
          <w:tcPr>
            <w:tcW w:w="471" w:type="pct"/>
            <w:vMerge/>
            <w:tcBorders>
              <w:top w:val="nil"/>
              <w:left w:val="single" w:sz="8" w:space="0" w:color="auto"/>
              <w:bottom w:val="single" w:sz="8" w:space="0" w:color="000000"/>
              <w:right w:val="single" w:sz="8" w:space="0" w:color="auto"/>
            </w:tcBorders>
            <w:vAlign w:val="center"/>
            <w:hideMark/>
          </w:tcPr>
          <w:p w14:paraId="650BC244"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4" w:space="0" w:color="auto"/>
              <w:bottom w:val="single" w:sz="4" w:space="0" w:color="auto"/>
              <w:right w:val="single" w:sz="4" w:space="0" w:color="auto"/>
            </w:tcBorders>
            <w:shd w:val="clear" w:color="000000" w:fill="FFFFFF"/>
            <w:vAlign w:val="center"/>
            <w:hideMark/>
          </w:tcPr>
          <w:p w14:paraId="0F28A01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national consultation processes conducted engaging civil society and youth</w:t>
            </w:r>
          </w:p>
        </w:tc>
        <w:tc>
          <w:tcPr>
            <w:tcW w:w="864" w:type="pct"/>
            <w:tcBorders>
              <w:top w:val="nil"/>
              <w:left w:val="nil"/>
              <w:bottom w:val="single" w:sz="4" w:space="0" w:color="auto"/>
              <w:right w:val="single" w:sz="4" w:space="0" w:color="auto"/>
            </w:tcBorders>
            <w:shd w:val="clear" w:color="auto" w:fill="auto"/>
            <w:vAlign w:val="center"/>
            <w:hideMark/>
          </w:tcPr>
          <w:p w14:paraId="24936A9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Big data, vox pops, agencies' records</w:t>
            </w:r>
          </w:p>
        </w:tc>
        <w:tc>
          <w:tcPr>
            <w:tcW w:w="558" w:type="pct"/>
            <w:tcBorders>
              <w:top w:val="nil"/>
              <w:left w:val="nil"/>
              <w:bottom w:val="single" w:sz="4" w:space="0" w:color="auto"/>
              <w:right w:val="single" w:sz="4" w:space="0" w:color="auto"/>
            </w:tcBorders>
            <w:shd w:val="clear" w:color="000000" w:fill="FFFFFF"/>
            <w:vAlign w:val="center"/>
            <w:hideMark/>
          </w:tcPr>
          <w:p w14:paraId="466C74C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UNDP, UNICEF, UN Women</w:t>
            </w:r>
          </w:p>
        </w:tc>
        <w:tc>
          <w:tcPr>
            <w:tcW w:w="760" w:type="pct"/>
            <w:tcBorders>
              <w:top w:val="nil"/>
              <w:left w:val="nil"/>
              <w:bottom w:val="single" w:sz="4" w:space="0" w:color="auto"/>
              <w:right w:val="single" w:sz="4" w:space="0" w:color="auto"/>
            </w:tcBorders>
            <w:shd w:val="clear" w:color="auto" w:fill="auto"/>
            <w:vAlign w:val="center"/>
            <w:hideMark/>
          </w:tcPr>
          <w:p w14:paraId="49C8B4E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Reports, national progress</w:t>
            </w:r>
          </w:p>
        </w:tc>
        <w:tc>
          <w:tcPr>
            <w:tcW w:w="406" w:type="pct"/>
            <w:tcBorders>
              <w:top w:val="nil"/>
              <w:left w:val="nil"/>
              <w:bottom w:val="single" w:sz="4" w:space="0" w:color="auto"/>
              <w:right w:val="single" w:sz="4" w:space="0" w:color="auto"/>
            </w:tcBorders>
            <w:shd w:val="clear" w:color="auto" w:fill="auto"/>
            <w:vAlign w:val="center"/>
            <w:hideMark/>
          </w:tcPr>
          <w:p w14:paraId="33D208F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Annually</w:t>
            </w:r>
          </w:p>
        </w:tc>
        <w:tc>
          <w:tcPr>
            <w:tcW w:w="456" w:type="pct"/>
            <w:tcBorders>
              <w:top w:val="nil"/>
              <w:left w:val="nil"/>
              <w:bottom w:val="single" w:sz="4" w:space="0" w:color="auto"/>
              <w:right w:val="single" w:sz="4" w:space="0" w:color="auto"/>
            </w:tcBorders>
            <w:shd w:val="clear" w:color="auto" w:fill="auto"/>
            <w:vAlign w:val="center"/>
            <w:hideMark/>
          </w:tcPr>
          <w:p w14:paraId="1BAEEB4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208422A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Geographic, governmental sector, community reached</w:t>
            </w:r>
          </w:p>
        </w:tc>
      </w:tr>
      <w:tr w:rsidR="00B67E02" w:rsidRPr="00B67E02" w14:paraId="0EEA9E0B" w14:textId="77777777" w:rsidTr="006120CE">
        <w:trPr>
          <w:trHeight w:val="647"/>
        </w:trPr>
        <w:tc>
          <w:tcPr>
            <w:tcW w:w="471" w:type="pct"/>
            <w:vMerge/>
            <w:tcBorders>
              <w:top w:val="nil"/>
              <w:left w:val="single" w:sz="8" w:space="0" w:color="auto"/>
              <w:bottom w:val="single" w:sz="8" w:space="0" w:color="000000"/>
              <w:right w:val="single" w:sz="8" w:space="0" w:color="auto"/>
            </w:tcBorders>
            <w:vAlign w:val="center"/>
            <w:hideMark/>
          </w:tcPr>
          <w:p w14:paraId="1538BD72"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000000" w:fill="FFFFFF"/>
            <w:vAlign w:val="center"/>
            <w:hideMark/>
          </w:tcPr>
          <w:p w14:paraId="3CC8838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functional complaint mechanisms established, by governorate</w:t>
            </w:r>
          </w:p>
        </w:tc>
        <w:tc>
          <w:tcPr>
            <w:tcW w:w="864" w:type="pct"/>
            <w:tcBorders>
              <w:top w:val="nil"/>
              <w:left w:val="nil"/>
              <w:bottom w:val="single" w:sz="4" w:space="0" w:color="auto"/>
              <w:right w:val="single" w:sz="4" w:space="0" w:color="auto"/>
            </w:tcBorders>
            <w:shd w:val="clear" w:color="auto" w:fill="auto"/>
            <w:vAlign w:val="center"/>
            <w:hideMark/>
          </w:tcPr>
          <w:p w14:paraId="73698B1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330A813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UNHCR</w:t>
            </w:r>
          </w:p>
        </w:tc>
        <w:tc>
          <w:tcPr>
            <w:tcW w:w="760" w:type="pct"/>
            <w:tcBorders>
              <w:top w:val="nil"/>
              <w:left w:val="nil"/>
              <w:bottom w:val="single" w:sz="4" w:space="0" w:color="auto"/>
              <w:right w:val="single" w:sz="4" w:space="0" w:color="auto"/>
            </w:tcBorders>
            <w:shd w:val="clear" w:color="auto" w:fill="auto"/>
            <w:vAlign w:val="center"/>
            <w:hideMark/>
          </w:tcPr>
          <w:p w14:paraId="350B34B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Complaints and reports</w:t>
            </w:r>
          </w:p>
        </w:tc>
        <w:tc>
          <w:tcPr>
            <w:tcW w:w="406" w:type="pct"/>
            <w:tcBorders>
              <w:top w:val="nil"/>
              <w:left w:val="nil"/>
              <w:bottom w:val="single" w:sz="4" w:space="0" w:color="auto"/>
              <w:right w:val="single" w:sz="4" w:space="0" w:color="auto"/>
            </w:tcBorders>
            <w:shd w:val="clear" w:color="auto" w:fill="auto"/>
            <w:vAlign w:val="center"/>
            <w:hideMark/>
          </w:tcPr>
          <w:p w14:paraId="09F1B98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Monthly</w:t>
            </w:r>
          </w:p>
        </w:tc>
        <w:tc>
          <w:tcPr>
            <w:tcW w:w="456" w:type="pct"/>
            <w:tcBorders>
              <w:top w:val="nil"/>
              <w:left w:val="nil"/>
              <w:bottom w:val="single" w:sz="4" w:space="0" w:color="auto"/>
              <w:right w:val="single" w:sz="4" w:space="0" w:color="auto"/>
            </w:tcBorders>
            <w:shd w:val="clear" w:color="auto" w:fill="auto"/>
            <w:vAlign w:val="center"/>
            <w:hideMark/>
          </w:tcPr>
          <w:p w14:paraId="1968401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4F6FCBC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Type of complaint, type of action, geographic</w:t>
            </w:r>
          </w:p>
        </w:tc>
      </w:tr>
      <w:tr w:rsidR="00B67E02" w:rsidRPr="00B67E02" w14:paraId="3EB7D973" w14:textId="77777777" w:rsidTr="006120CE">
        <w:trPr>
          <w:trHeight w:val="2670"/>
        </w:trPr>
        <w:tc>
          <w:tcPr>
            <w:tcW w:w="471" w:type="pct"/>
            <w:vMerge/>
            <w:tcBorders>
              <w:top w:val="nil"/>
              <w:left w:val="single" w:sz="8" w:space="0" w:color="auto"/>
              <w:bottom w:val="single" w:sz="8" w:space="0" w:color="000000"/>
              <w:right w:val="single" w:sz="8" w:space="0" w:color="auto"/>
            </w:tcBorders>
            <w:vAlign w:val="center"/>
            <w:hideMark/>
          </w:tcPr>
          <w:p w14:paraId="59BDB74E"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000000" w:fill="FFFFFF"/>
            <w:vAlign w:val="center"/>
            <w:hideMark/>
          </w:tcPr>
          <w:p w14:paraId="5E2E04B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complaints received through established complaint mechanisms</w:t>
            </w:r>
          </w:p>
        </w:tc>
        <w:tc>
          <w:tcPr>
            <w:tcW w:w="864" w:type="pct"/>
            <w:tcBorders>
              <w:top w:val="nil"/>
              <w:left w:val="nil"/>
              <w:bottom w:val="single" w:sz="4" w:space="0" w:color="auto"/>
              <w:right w:val="single" w:sz="4" w:space="0" w:color="auto"/>
            </w:tcBorders>
            <w:shd w:val="clear" w:color="auto" w:fill="auto"/>
            <w:vAlign w:val="center"/>
            <w:hideMark/>
          </w:tcPr>
          <w:p w14:paraId="267821C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Government, implementing partners</w:t>
            </w:r>
          </w:p>
        </w:tc>
        <w:tc>
          <w:tcPr>
            <w:tcW w:w="558" w:type="pct"/>
            <w:tcBorders>
              <w:top w:val="nil"/>
              <w:left w:val="nil"/>
              <w:bottom w:val="single" w:sz="4" w:space="0" w:color="auto"/>
              <w:right w:val="single" w:sz="4" w:space="0" w:color="auto"/>
            </w:tcBorders>
            <w:shd w:val="clear" w:color="000000" w:fill="FFFFFF"/>
            <w:vAlign w:val="center"/>
            <w:hideMark/>
          </w:tcPr>
          <w:p w14:paraId="69B55AD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UNHCR</w:t>
            </w:r>
          </w:p>
        </w:tc>
        <w:tc>
          <w:tcPr>
            <w:tcW w:w="760" w:type="pct"/>
            <w:tcBorders>
              <w:top w:val="nil"/>
              <w:left w:val="nil"/>
              <w:bottom w:val="single" w:sz="4" w:space="0" w:color="auto"/>
              <w:right w:val="single" w:sz="4" w:space="0" w:color="auto"/>
            </w:tcBorders>
            <w:shd w:val="clear" w:color="auto" w:fill="auto"/>
            <w:vAlign w:val="center"/>
            <w:hideMark/>
          </w:tcPr>
          <w:p w14:paraId="6D6B9C4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Reports</w:t>
            </w:r>
          </w:p>
        </w:tc>
        <w:tc>
          <w:tcPr>
            <w:tcW w:w="406" w:type="pct"/>
            <w:tcBorders>
              <w:top w:val="nil"/>
              <w:left w:val="nil"/>
              <w:bottom w:val="single" w:sz="4" w:space="0" w:color="auto"/>
              <w:right w:val="single" w:sz="4" w:space="0" w:color="auto"/>
            </w:tcBorders>
            <w:shd w:val="clear" w:color="auto" w:fill="auto"/>
            <w:vAlign w:val="center"/>
            <w:hideMark/>
          </w:tcPr>
          <w:p w14:paraId="5456973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Monthly</w:t>
            </w:r>
          </w:p>
        </w:tc>
        <w:tc>
          <w:tcPr>
            <w:tcW w:w="456" w:type="pct"/>
            <w:tcBorders>
              <w:top w:val="nil"/>
              <w:left w:val="nil"/>
              <w:bottom w:val="single" w:sz="4" w:space="0" w:color="auto"/>
              <w:right w:val="single" w:sz="4" w:space="0" w:color="auto"/>
            </w:tcBorders>
            <w:shd w:val="clear" w:color="auto" w:fill="auto"/>
            <w:vAlign w:val="center"/>
            <w:hideMark/>
          </w:tcPr>
          <w:p w14:paraId="18F43A4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6C6D789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Type of complaint, type of action, geographic</w:t>
            </w:r>
          </w:p>
        </w:tc>
      </w:tr>
      <w:tr w:rsidR="00B67E02" w:rsidRPr="00B67E02" w14:paraId="14388A45" w14:textId="77777777" w:rsidTr="006120CE">
        <w:trPr>
          <w:trHeight w:val="548"/>
        </w:trPr>
        <w:tc>
          <w:tcPr>
            <w:tcW w:w="471" w:type="pct"/>
            <w:vMerge/>
            <w:tcBorders>
              <w:top w:val="nil"/>
              <w:left w:val="single" w:sz="8" w:space="0" w:color="auto"/>
              <w:bottom w:val="single" w:sz="8" w:space="0" w:color="000000"/>
              <w:right w:val="single" w:sz="8" w:space="0" w:color="auto"/>
            </w:tcBorders>
            <w:vAlign w:val="center"/>
            <w:hideMark/>
          </w:tcPr>
          <w:p w14:paraId="2E1DEB38"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000000" w:fill="FFFFFF"/>
            <w:vAlign w:val="center"/>
            <w:hideMark/>
          </w:tcPr>
          <w:p w14:paraId="4CD5800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complaints received through established complaint mechanisms and acted upon</w:t>
            </w:r>
          </w:p>
        </w:tc>
        <w:tc>
          <w:tcPr>
            <w:tcW w:w="864" w:type="pct"/>
            <w:tcBorders>
              <w:top w:val="nil"/>
              <w:left w:val="nil"/>
              <w:bottom w:val="single" w:sz="4" w:space="0" w:color="auto"/>
              <w:right w:val="single" w:sz="4" w:space="0" w:color="auto"/>
            </w:tcBorders>
            <w:shd w:val="clear" w:color="auto" w:fill="auto"/>
            <w:vAlign w:val="center"/>
            <w:hideMark/>
          </w:tcPr>
          <w:p w14:paraId="359DB80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Government, implementing partners</w:t>
            </w:r>
          </w:p>
        </w:tc>
        <w:tc>
          <w:tcPr>
            <w:tcW w:w="558" w:type="pct"/>
            <w:tcBorders>
              <w:top w:val="nil"/>
              <w:left w:val="nil"/>
              <w:bottom w:val="single" w:sz="4" w:space="0" w:color="auto"/>
              <w:right w:val="single" w:sz="4" w:space="0" w:color="auto"/>
            </w:tcBorders>
            <w:shd w:val="clear" w:color="000000" w:fill="FFFFFF"/>
            <w:vAlign w:val="center"/>
            <w:hideMark/>
          </w:tcPr>
          <w:p w14:paraId="7EAAC24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UNHCR</w:t>
            </w:r>
          </w:p>
        </w:tc>
        <w:tc>
          <w:tcPr>
            <w:tcW w:w="760" w:type="pct"/>
            <w:tcBorders>
              <w:top w:val="nil"/>
              <w:left w:val="nil"/>
              <w:bottom w:val="single" w:sz="4" w:space="0" w:color="auto"/>
              <w:right w:val="single" w:sz="4" w:space="0" w:color="auto"/>
            </w:tcBorders>
            <w:shd w:val="clear" w:color="auto" w:fill="auto"/>
            <w:vAlign w:val="center"/>
            <w:hideMark/>
          </w:tcPr>
          <w:p w14:paraId="77ED26A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Reports</w:t>
            </w:r>
          </w:p>
        </w:tc>
        <w:tc>
          <w:tcPr>
            <w:tcW w:w="406" w:type="pct"/>
            <w:tcBorders>
              <w:top w:val="nil"/>
              <w:left w:val="nil"/>
              <w:bottom w:val="single" w:sz="4" w:space="0" w:color="auto"/>
              <w:right w:val="single" w:sz="4" w:space="0" w:color="auto"/>
            </w:tcBorders>
            <w:shd w:val="clear" w:color="auto" w:fill="auto"/>
            <w:vAlign w:val="center"/>
            <w:hideMark/>
          </w:tcPr>
          <w:p w14:paraId="5FF0489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Monthly</w:t>
            </w:r>
          </w:p>
        </w:tc>
        <w:tc>
          <w:tcPr>
            <w:tcW w:w="456" w:type="pct"/>
            <w:tcBorders>
              <w:top w:val="nil"/>
              <w:left w:val="nil"/>
              <w:bottom w:val="single" w:sz="4" w:space="0" w:color="auto"/>
              <w:right w:val="single" w:sz="4" w:space="0" w:color="auto"/>
            </w:tcBorders>
            <w:shd w:val="clear" w:color="auto" w:fill="auto"/>
            <w:vAlign w:val="center"/>
            <w:hideMark/>
          </w:tcPr>
          <w:p w14:paraId="201E32D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4191DF8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Type of complaint, type of action, geographic</w:t>
            </w:r>
          </w:p>
        </w:tc>
      </w:tr>
      <w:tr w:rsidR="00B67E02" w:rsidRPr="00B67E02" w14:paraId="0A741951" w14:textId="77777777" w:rsidTr="006120CE">
        <w:trPr>
          <w:trHeight w:val="831"/>
        </w:trPr>
        <w:tc>
          <w:tcPr>
            <w:tcW w:w="471" w:type="pct"/>
            <w:vMerge/>
            <w:tcBorders>
              <w:top w:val="nil"/>
              <w:left w:val="single" w:sz="8" w:space="0" w:color="auto"/>
              <w:bottom w:val="single" w:sz="8" w:space="0" w:color="000000"/>
              <w:right w:val="single" w:sz="8" w:space="0" w:color="auto"/>
            </w:tcBorders>
            <w:vAlign w:val="center"/>
            <w:hideMark/>
          </w:tcPr>
          <w:p w14:paraId="581D3F33"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8" w:space="0" w:color="auto"/>
              <w:right w:val="single" w:sz="4" w:space="0" w:color="auto"/>
            </w:tcBorders>
            <w:shd w:val="clear" w:color="000000" w:fill="FFFFFF"/>
            <w:vAlign w:val="center"/>
            <w:hideMark/>
          </w:tcPr>
          <w:p w14:paraId="750E61F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women trained on leadership activities</w:t>
            </w:r>
          </w:p>
        </w:tc>
        <w:tc>
          <w:tcPr>
            <w:tcW w:w="864" w:type="pct"/>
            <w:tcBorders>
              <w:top w:val="nil"/>
              <w:left w:val="nil"/>
              <w:bottom w:val="nil"/>
              <w:right w:val="single" w:sz="4" w:space="0" w:color="auto"/>
            </w:tcBorders>
            <w:shd w:val="clear" w:color="auto" w:fill="auto"/>
            <w:vAlign w:val="center"/>
            <w:hideMark/>
          </w:tcPr>
          <w:p w14:paraId="43D123C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Agencies providing records</w:t>
            </w:r>
          </w:p>
        </w:tc>
        <w:tc>
          <w:tcPr>
            <w:tcW w:w="558" w:type="pct"/>
            <w:tcBorders>
              <w:top w:val="nil"/>
              <w:left w:val="nil"/>
              <w:bottom w:val="nil"/>
              <w:right w:val="single" w:sz="4" w:space="0" w:color="auto"/>
            </w:tcBorders>
            <w:shd w:val="clear" w:color="000000" w:fill="FFFFFF"/>
            <w:vAlign w:val="center"/>
            <w:hideMark/>
          </w:tcPr>
          <w:p w14:paraId="4956B4F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 Women, UNESCO</w:t>
            </w:r>
          </w:p>
        </w:tc>
        <w:tc>
          <w:tcPr>
            <w:tcW w:w="760" w:type="pct"/>
            <w:tcBorders>
              <w:top w:val="nil"/>
              <w:left w:val="nil"/>
              <w:bottom w:val="nil"/>
              <w:right w:val="single" w:sz="4" w:space="0" w:color="auto"/>
            </w:tcBorders>
            <w:shd w:val="clear" w:color="auto" w:fill="auto"/>
            <w:vAlign w:val="center"/>
            <w:hideMark/>
          </w:tcPr>
          <w:p w14:paraId="1E68D3C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Training records, reports, attendance lists</w:t>
            </w:r>
          </w:p>
        </w:tc>
        <w:tc>
          <w:tcPr>
            <w:tcW w:w="406" w:type="pct"/>
            <w:tcBorders>
              <w:top w:val="nil"/>
              <w:left w:val="nil"/>
              <w:bottom w:val="nil"/>
              <w:right w:val="single" w:sz="4" w:space="0" w:color="auto"/>
            </w:tcBorders>
            <w:shd w:val="clear" w:color="auto" w:fill="auto"/>
            <w:vAlign w:val="center"/>
            <w:hideMark/>
          </w:tcPr>
          <w:p w14:paraId="36922D2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nil"/>
              <w:right w:val="nil"/>
            </w:tcBorders>
            <w:shd w:val="clear" w:color="auto" w:fill="auto"/>
            <w:vAlign w:val="center"/>
            <w:hideMark/>
          </w:tcPr>
          <w:p w14:paraId="20DBD8B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single" w:sz="4" w:space="0" w:color="auto"/>
              <w:bottom w:val="single" w:sz="8" w:space="0" w:color="auto"/>
              <w:right w:val="single" w:sz="8" w:space="0" w:color="auto"/>
            </w:tcBorders>
            <w:shd w:val="clear" w:color="auto" w:fill="auto"/>
            <w:noWrap/>
            <w:vAlign w:val="center"/>
            <w:hideMark/>
          </w:tcPr>
          <w:p w14:paraId="2D149A66" w14:textId="77777777" w:rsidR="00B67E02" w:rsidRPr="00B67E02" w:rsidRDefault="00B67E02" w:rsidP="00B67E02">
            <w:pPr>
              <w:spacing w:before="0" w:after="0"/>
              <w:jc w:val="center"/>
              <w:rPr>
                <w:rFonts w:ascii="Calibri" w:eastAsia="Times New Roman" w:hAnsi="Calibri"/>
                <w:color w:val="000000"/>
                <w:lang w:eastAsia="en-GB"/>
              </w:rPr>
            </w:pPr>
            <w:r w:rsidRPr="00B67E02">
              <w:rPr>
                <w:rFonts w:ascii="Calibri" w:eastAsia="Times New Roman" w:hAnsi="Calibri"/>
                <w:color w:val="000000"/>
                <w:lang w:eastAsia="en-GB"/>
              </w:rPr>
              <w:t>Geographic, age, sector</w:t>
            </w:r>
          </w:p>
        </w:tc>
      </w:tr>
      <w:tr w:rsidR="00B67E02" w:rsidRPr="00B67E02" w14:paraId="18019F7C" w14:textId="77777777" w:rsidTr="006120CE">
        <w:trPr>
          <w:trHeight w:val="1114"/>
        </w:trPr>
        <w:tc>
          <w:tcPr>
            <w:tcW w:w="471" w:type="pct"/>
            <w:vMerge w:val="restart"/>
            <w:tcBorders>
              <w:top w:val="nil"/>
              <w:left w:val="single" w:sz="8" w:space="0" w:color="auto"/>
              <w:bottom w:val="single" w:sz="8" w:space="0" w:color="000000"/>
              <w:right w:val="single" w:sz="8" w:space="0" w:color="auto"/>
            </w:tcBorders>
            <w:shd w:val="clear" w:color="000000" w:fill="EE5859"/>
            <w:vAlign w:val="center"/>
            <w:hideMark/>
          </w:tcPr>
          <w:p w14:paraId="22FBFF3C"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Outcome 2 – Ensuring Social Equity</w:t>
            </w:r>
          </w:p>
        </w:tc>
        <w:tc>
          <w:tcPr>
            <w:tcW w:w="891" w:type="pct"/>
            <w:tcBorders>
              <w:top w:val="nil"/>
              <w:left w:val="nil"/>
              <w:bottom w:val="single" w:sz="4" w:space="0" w:color="auto"/>
              <w:right w:val="single" w:sz="4" w:space="0" w:color="auto"/>
            </w:tcBorders>
            <w:shd w:val="clear" w:color="auto" w:fill="auto"/>
            <w:vAlign w:val="center"/>
            <w:hideMark/>
          </w:tcPr>
          <w:p w14:paraId="387B6D3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women using multi-sectoral VAW support services</w:t>
            </w:r>
          </w:p>
        </w:tc>
        <w:tc>
          <w:tcPr>
            <w:tcW w:w="864" w:type="pct"/>
            <w:tcBorders>
              <w:top w:val="single" w:sz="8" w:space="0" w:color="auto"/>
              <w:left w:val="nil"/>
              <w:bottom w:val="single" w:sz="4" w:space="0" w:color="auto"/>
              <w:right w:val="single" w:sz="4" w:space="0" w:color="auto"/>
            </w:tcBorders>
            <w:shd w:val="clear" w:color="auto" w:fill="auto"/>
            <w:vAlign w:val="center"/>
            <w:hideMark/>
          </w:tcPr>
          <w:p w14:paraId="721A080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14:paraId="6BB3236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UNFPA, UN Women, UNICEF, UNRWA</w:t>
            </w:r>
          </w:p>
        </w:tc>
        <w:tc>
          <w:tcPr>
            <w:tcW w:w="760" w:type="pct"/>
            <w:tcBorders>
              <w:top w:val="single" w:sz="8" w:space="0" w:color="auto"/>
              <w:left w:val="nil"/>
              <w:bottom w:val="single" w:sz="4" w:space="0" w:color="auto"/>
              <w:right w:val="single" w:sz="4" w:space="0" w:color="auto"/>
            </w:tcBorders>
            <w:shd w:val="clear" w:color="auto" w:fill="auto"/>
            <w:vAlign w:val="center"/>
            <w:hideMark/>
          </w:tcPr>
          <w:p w14:paraId="5262E4A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from projects and service centres, government records, interagency IMS</w:t>
            </w:r>
          </w:p>
        </w:tc>
        <w:tc>
          <w:tcPr>
            <w:tcW w:w="406" w:type="pct"/>
            <w:tcBorders>
              <w:top w:val="single" w:sz="8" w:space="0" w:color="auto"/>
              <w:left w:val="nil"/>
              <w:bottom w:val="single" w:sz="4" w:space="0" w:color="auto"/>
              <w:right w:val="single" w:sz="4" w:space="0" w:color="auto"/>
            </w:tcBorders>
            <w:shd w:val="clear" w:color="auto" w:fill="auto"/>
            <w:vAlign w:val="center"/>
            <w:hideMark/>
          </w:tcPr>
          <w:p w14:paraId="36EA2B8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single" w:sz="8" w:space="0" w:color="auto"/>
              <w:left w:val="nil"/>
              <w:bottom w:val="single" w:sz="4" w:space="0" w:color="auto"/>
              <w:right w:val="single" w:sz="4" w:space="0" w:color="auto"/>
            </w:tcBorders>
            <w:shd w:val="clear" w:color="auto" w:fill="auto"/>
            <w:vAlign w:val="center"/>
            <w:hideMark/>
          </w:tcPr>
          <w:p w14:paraId="50951D4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039220D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 governorate, sector</w:t>
            </w:r>
          </w:p>
        </w:tc>
      </w:tr>
      <w:tr w:rsidR="00B67E02" w:rsidRPr="00B67E02" w14:paraId="67FA2669" w14:textId="77777777" w:rsidTr="006120CE">
        <w:trPr>
          <w:trHeight w:val="829"/>
        </w:trPr>
        <w:tc>
          <w:tcPr>
            <w:tcW w:w="471" w:type="pct"/>
            <w:vMerge/>
            <w:tcBorders>
              <w:top w:val="nil"/>
              <w:left w:val="single" w:sz="8" w:space="0" w:color="auto"/>
              <w:bottom w:val="single" w:sz="8" w:space="0" w:color="000000"/>
              <w:right w:val="single" w:sz="8" w:space="0" w:color="auto"/>
            </w:tcBorders>
            <w:vAlign w:val="center"/>
            <w:hideMark/>
          </w:tcPr>
          <w:p w14:paraId="11501C4F"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auto" w:fill="auto"/>
            <w:vAlign w:val="center"/>
            <w:hideMark/>
          </w:tcPr>
          <w:p w14:paraId="495AC86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students who experienced positive alternatives  to violent disciplinary action, by governorate</w:t>
            </w:r>
          </w:p>
        </w:tc>
        <w:tc>
          <w:tcPr>
            <w:tcW w:w="864" w:type="pct"/>
            <w:tcBorders>
              <w:top w:val="nil"/>
              <w:left w:val="nil"/>
              <w:bottom w:val="single" w:sz="4" w:space="0" w:color="auto"/>
              <w:right w:val="single" w:sz="4" w:space="0" w:color="auto"/>
            </w:tcBorders>
            <w:shd w:val="clear" w:color="auto" w:fill="auto"/>
            <w:vAlign w:val="center"/>
            <w:hideMark/>
          </w:tcPr>
          <w:p w14:paraId="3AC62E9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5FF652A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UNICEF,  UNRWA</w:t>
            </w:r>
          </w:p>
        </w:tc>
        <w:tc>
          <w:tcPr>
            <w:tcW w:w="760" w:type="pct"/>
            <w:tcBorders>
              <w:top w:val="nil"/>
              <w:left w:val="nil"/>
              <w:bottom w:val="single" w:sz="4" w:space="0" w:color="auto"/>
              <w:right w:val="single" w:sz="4" w:space="0" w:color="auto"/>
            </w:tcBorders>
            <w:shd w:val="clear" w:color="auto" w:fill="auto"/>
            <w:vAlign w:val="center"/>
            <w:hideMark/>
          </w:tcPr>
          <w:p w14:paraId="07CD13C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Student survey</w:t>
            </w:r>
          </w:p>
        </w:tc>
        <w:tc>
          <w:tcPr>
            <w:tcW w:w="406" w:type="pct"/>
            <w:tcBorders>
              <w:top w:val="nil"/>
              <w:left w:val="nil"/>
              <w:bottom w:val="single" w:sz="4" w:space="0" w:color="auto"/>
              <w:right w:val="single" w:sz="4" w:space="0" w:color="auto"/>
            </w:tcBorders>
            <w:shd w:val="clear" w:color="auto" w:fill="auto"/>
            <w:vAlign w:val="center"/>
            <w:hideMark/>
          </w:tcPr>
          <w:p w14:paraId="617B931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5CC72AE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5FC6C82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42C3A500" w14:textId="77777777" w:rsidTr="006120CE">
        <w:trPr>
          <w:trHeight w:val="535"/>
        </w:trPr>
        <w:tc>
          <w:tcPr>
            <w:tcW w:w="471" w:type="pct"/>
            <w:vMerge/>
            <w:tcBorders>
              <w:top w:val="nil"/>
              <w:left w:val="single" w:sz="8" w:space="0" w:color="auto"/>
              <w:bottom w:val="single" w:sz="8" w:space="0" w:color="000000"/>
              <w:right w:val="single" w:sz="8" w:space="0" w:color="auto"/>
            </w:tcBorders>
            <w:vAlign w:val="center"/>
            <w:hideMark/>
          </w:tcPr>
          <w:p w14:paraId="02A06F9A"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auto" w:fill="auto"/>
            <w:vAlign w:val="center"/>
            <w:hideMark/>
          </w:tcPr>
          <w:p w14:paraId="5FE6182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students reported suffering verbal/ physical violence in all government and UNRWA schools</w:t>
            </w:r>
          </w:p>
        </w:tc>
        <w:tc>
          <w:tcPr>
            <w:tcW w:w="864" w:type="pct"/>
            <w:tcBorders>
              <w:top w:val="nil"/>
              <w:left w:val="nil"/>
              <w:bottom w:val="single" w:sz="4" w:space="0" w:color="auto"/>
              <w:right w:val="single" w:sz="4" w:space="0" w:color="auto"/>
            </w:tcBorders>
            <w:shd w:val="clear" w:color="auto" w:fill="auto"/>
            <w:vAlign w:val="center"/>
            <w:hideMark/>
          </w:tcPr>
          <w:p w14:paraId="193A36C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6954B5F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UNICEF, UNRWA</w:t>
            </w:r>
          </w:p>
        </w:tc>
        <w:tc>
          <w:tcPr>
            <w:tcW w:w="760" w:type="pct"/>
            <w:tcBorders>
              <w:top w:val="nil"/>
              <w:left w:val="nil"/>
              <w:bottom w:val="single" w:sz="4" w:space="0" w:color="auto"/>
              <w:right w:val="single" w:sz="4" w:space="0" w:color="auto"/>
            </w:tcBorders>
            <w:shd w:val="clear" w:color="auto" w:fill="auto"/>
            <w:vAlign w:val="center"/>
            <w:hideMark/>
          </w:tcPr>
          <w:p w14:paraId="71D531E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Student survey</w:t>
            </w:r>
          </w:p>
        </w:tc>
        <w:tc>
          <w:tcPr>
            <w:tcW w:w="406" w:type="pct"/>
            <w:tcBorders>
              <w:top w:val="nil"/>
              <w:left w:val="nil"/>
              <w:bottom w:val="single" w:sz="4" w:space="0" w:color="auto"/>
              <w:right w:val="single" w:sz="4" w:space="0" w:color="auto"/>
            </w:tcBorders>
            <w:shd w:val="clear" w:color="auto" w:fill="auto"/>
            <w:vAlign w:val="center"/>
            <w:hideMark/>
          </w:tcPr>
          <w:p w14:paraId="1AE9143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7ABA120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4F531E7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6CF8AB52" w14:textId="77777777" w:rsidTr="006120CE">
        <w:trPr>
          <w:trHeight w:val="1370"/>
        </w:trPr>
        <w:tc>
          <w:tcPr>
            <w:tcW w:w="471" w:type="pct"/>
            <w:vMerge/>
            <w:tcBorders>
              <w:top w:val="nil"/>
              <w:left w:val="single" w:sz="8" w:space="0" w:color="auto"/>
              <w:bottom w:val="single" w:sz="8" w:space="0" w:color="000000"/>
              <w:right w:val="single" w:sz="8" w:space="0" w:color="auto"/>
            </w:tcBorders>
            <w:vAlign w:val="center"/>
            <w:hideMark/>
          </w:tcPr>
          <w:p w14:paraId="669DC392"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auto" w:fill="auto"/>
            <w:vAlign w:val="center"/>
            <w:hideMark/>
          </w:tcPr>
          <w:p w14:paraId="4D64985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individuals identified as experiencing a protection risk (GBV, child protection and disabilities) provided with assistance</w:t>
            </w:r>
          </w:p>
        </w:tc>
        <w:tc>
          <w:tcPr>
            <w:tcW w:w="864" w:type="pct"/>
            <w:tcBorders>
              <w:top w:val="nil"/>
              <w:left w:val="nil"/>
              <w:bottom w:val="single" w:sz="4" w:space="0" w:color="auto"/>
              <w:right w:val="single" w:sz="4" w:space="0" w:color="auto"/>
            </w:tcBorders>
            <w:shd w:val="clear" w:color="auto" w:fill="auto"/>
            <w:vAlign w:val="center"/>
            <w:hideMark/>
          </w:tcPr>
          <w:p w14:paraId="27346B4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National-level data, Higher Council for Disability, protection data, national  tracking system for  protection cases</w:t>
            </w:r>
          </w:p>
        </w:tc>
        <w:tc>
          <w:tcPr>
            <w:tcW w:w="558" w:type="pct"/>
            <w:tcBorders>
              <w:top w:val="nil"/>
              <w:left w:val="nil"/>
              <w:bottom w:val="single" w:sz="4" w:space="0" w:color="auto"/>
              <w:right w:val="single" w:sz="4" w:space="0" w:color="auto"/>
            </w:tcBorders>
            <w:shd w:val="clear" w:color="000000" w:fill="FFFFFF"/>
            <w:vAlign w:val="center"/>
            <w:hideMark/>
          </w:tcPr>
          <w:p w14:paraId="2104C62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UNICEF, UN Women, UNHCR</w:t>
            </w:r>
          </w:p>
        </w:tc>
        <w:tc>
          <w:tcPr>
            <w:tcW w:w="760" w:type="pct"/>
            <w:tcBorders>
              <w:top w:val="nil"/>
              <w:left w:val="nil"/>
              <w:bottom w:val="single" w:sz="4" w:space="0" w:color="auto"/>
              <w:right w:val="single" w:sz="4" w:space="0" w:color="auto"/>
            </w:tcBorders>
            <w:shd w:val="clear" w:color="auto" w:fill="auto"/>
            <w:vAlign w:val="center"/>
            <w:hideMark/>
          </w:tcPr>
          <w:p w14:paraId="4F31CE6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uploads to national tracking system</w:t>
            </w:r>
          </w:p>
        </w:tc>
        <w:tc>
          <w:tcPr>
            <w:tcW w:w="406" w:type="pct"/>
            <w:tcBorders>
              <w:top w:val="nil"/>
              <w:left w:val="nil"/>
              <w:bottom w:val="single" w:sz="4" w:space="0" w:color="auto"/>
              <w:right w:val="single" w:sz="4" w:space="0" w:color="auto"/>
            </w:tcBorders>
            <w:shd w:val="clear" w:color="auto" w:fill="auto"/>
            <w:vAlign w:val="center"/>
            <w:hideMark/>
          </w:tcPr>
          <w:p w14:paraId="44C9481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78E0B84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6009A48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02F6F1E7" w14:textId="77777777" w:rsidTr="006120CE">
        <w:trPr>
          <w:trHeight w:val="837"/>
        </w:trPr>
        <w:tc>
          <w:tcPr>
            <w:tcW w:w="471" w:type="pct"/>
            <w:vMerge/>
            <w:tcBorders>
              <w:top w:val="nil"/>
              <w:left w:val="single" w:sz="8" w:space="0" w:color="auto"/>
              <w:bottom w:val="single" w:sz="8" w:space="0" w:color="000000"/>
              <w:right w:val="single" w:sz="8" w:space="0" w:color="auto"/>
            </w:tcBorders>
            <w:vAlign w:val="center"/>
            <w:hideMark/>
          </w:tcPr>
          <w:p w14:paraId="1AD16D6A"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auto" w:fill="auto"/>
            <w:vAlign w:val="center"/>
            <w:hideMark/>
          </w:tcPr>
          <w:p w14:paraId="6F5F427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microfinance loans provided, disaggregated by sex and age</w:t>
            </w:r>
          </w:p>
        </w:tc>
        <w:tc>
          <w:tcPr>
            <w:tcW w:w="864" w:type="pct"/>
            <w:tcBorders>
              <w:top w:val="nil"/>
              <w:left w:val="nil"/>
              <w:bottom w:val="single" w:sz="4" w:space="0" w:color="auto"/>
              <w:right w:val="single" w:sz="4" w:space="0" w:color="auto"/>
            </w:tcBorders>
            <w:shd w:val="clear" w:color="auto" w:fill="auto"/>
            <w:vAlign w:val="center"/>
            <w:hideMark/>
          </w:tcPr>
          <w:p w14:paraId="3485A99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06C8087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UNDP, UN Women, UNHCR, World Bank, ILO</w:t>
            </w:r>
          </w:p>
        </w:tc>
        <w:tc>
          <w:tcPr>
            <w:tcW w:w="760" w:type="pct"/>
            <w:tcBorders>
              <w:top w:val="nil"/>
              <w:left w:val="nil"/>
              <w:bottom w:val="single" w:sz="4" w:space="0" w:color="auto"/>
              <w:right w:val="single" w:sz="4" w:space="0" w:color="auto"/>
            </w:tcBorders>
            <w:shd w:val="clear" w:color="auto" w:fill="auto"/>
            <w:vAlign w:val="center"/>
            <w:hideMark/>
          </w:tcPr>
          <w:p w14:paraId="42F93AF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of loans given out</w:t>
            </w:r>
          </w:p>
        </w:tc>
        <w:tc>
          <w:tcPr>
            <w:tcW w:w="406" w:type="pct"/>
            <w:tcBorders>
              <w:top w:val="nil"/>
              <w:left w:val="nil"/>
              <w:bottom w:val="single" w:sz="4" w:space="0" w:color="auto"/>
              <w:right w:val="single" w:sz="4" w:space="0" w:color="auto"/>
            </w:tcBorders>
            <w:shd w:val="clear" w:color="auto" w:fill="auto"/>
            <w:vAlign w:val="center"/>
            <w:hideMark/>
          </w:tcPr>
          <w:p w14:paraId="6E589E2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58B8186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298C35C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location</w:t>
            </w:r>
          </w:p>
        </w:tc>
      </w:tr>
      <w:tr w:rsidR="00B67E02" w:rsidRPr="00B67E02" w14:paraId="55F5A87A" w14:textId="77777777" w:rsidTr="006120CE">
        <w:trPr>
          <w:trHeight w:val="1965"/>
        </w:trPr>
        <w:tc>
          <w:tcPr>
            <w:tcW w:w="471" w:type="pct"/>
            <w:vMerge/>
            <w:tcBorders>
              <w:top w:val="nil"/>
              <w:left w:val="single" w:sz="8" w:space="0" w:color="auto"/>
              <w:bottom w:val="single" w:sz="8" w:space="0" w:color="000000"/>
              <w:right w:val="single" w:sz="8" w:space="0" w:color="auto"/>
            </w:tcBorders>
            <w:vAlign w:val="center"/>
            <w:hideMark/>
          </w:tcPr>
          <w:p w14:paraId="56AAD4A7"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4" w:space="0" w:color="auto"/>
              <w:bottom w:val="single" w:sz="8" w:space="0" w:color="auto"/>
              <w:right w:val="single" w:sz="4" w:space="0" w:color="auto"/>
            </w:tcBorders>
            <w:shd w:val="clear" w:color="auto" w:fill="auto"/>
            <w:vAlign w:val="center"/>
            <w:hideMark/>
          </w:tcPr>
          <w:p w14:paraId="72ACEB2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vulnerable provided with vocational training (disaggregated by sex and age)</w:t>
            </w:r>
          </w:p>
        </w:tc>
        <w:tc>
          <w:tcPr>
            <w:tcW w:w="864" w:type="pct"/>
            <w:tcBorders>
              <w:top w:val="nil"/>
              <w:left w:val="nil"/>
              <w:bottom w:val="single" w:sz="8" w:space="0" w:color="auto"/>
              <w:right w:val="single" w:sz="4" w:space="0" w:color="auto"/>
            </w:tcBorders>
            <w:shd w:val="clear" w:color="auto" w:fill="auto"/>
            <w:vAlign w:val="center"/>
            <w:hideMark/>
          </w:tcPr>
          <w:p w14:paraId="6EC70C6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Activity Info</w:t>
            </w:r>
          </w:p>
        </w:tc>
        <w:tc>
          <w:tcPr>
            <w:tcW w:w="558" w:type="pct"/>
            <w:tcBorders>
              <w:top w:val="nil"/>
              <w:left w:val="nil"/>
              <w:bottom w:val="single" w:sz="8" w:space="0" w:color="auto"/>
              <w:right w:val="single" w:sz="4" w:space="0" w:color="auto"/>
            </w:tcBorders>
            <w:shd w:val="clear" w:color="000000" w:fill="FFFFFF"/>
            <w:vAlign w:val="center"/>
            <w:hideMark/>
          </w:tcPr>
          <w:p w14:paraId="653339A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 Women, UNESCO, UNHCR, UNFPA</w:t>
            </w:r>
          </w:p>
        </w:tc>
        <w:tc>
          <w:tcPr>
            <w:tcW w:w="760" w:type="pct"/>
            <w:tcBorders>
              <w:top w:val="nil"/>
              <w:left w:val="nil"/>
              <w:bottom w:val="single" w:sz="8" w:space="0" w:color="auto"/>
              <w:right w:val="single" w:sz="4" w:space="0" w:color="auto"/>
            </w:tcBorders>
            <w:shd w:val="clear" w:color="auto" w:fill="auto"/>
            <w:vAlign w:val="center"/>
            <w:hideMark/>
          </w:tcPr>
          <w:p w14:paraId="7937E06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and partner uploads to Activity Info</w:t>
            </w:r>
          </w:p>
        </w:tc>
        <w:tc>
          <w:tcPr>
            <w:tcW w:w="406" w:type="pct"/>
            <w:tcBorders>
              <w:top w:val="nil"/>
              <w:left w:val="nil"/>
              <w:bottom w:val="single" w:sz="8" w:space="0" w:color="auto"/>
              <w:right w:val="single" w:sz="4" w:space="0" w:color="auto"/>
            </w:tcBorders>
            <w:shd w:val="clear" w:color="auto" w:fill="auto"/>
            <w:vAlign w:val="center"/>
            <w:hideMark/>
          </w:tcPr>
          <w:p w14:paraId="6FA9EC9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8" w:space="0" w:color="auto"/>
              <w:right w:val="single" w:sz="4" w:space="0" w:color="auto"/>
            </w:tcBorders>
            <w:shd w:val="clear" w:color="auto" w:fill="auto"/>
            <w:vAlign w:val="center"/>
            <w:hideMark/>
          </w:tcPr>
          <w:p w14:paraId="64E58CC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8" w:space="0" w:color="auto"/>
              <w:right w:val="single" w:sz="8" w:space="0" w:color="auto"/>
            </w:tcBorders>
            <w:shd w:val="clear" w:color="auto" w:fill="auto"/>
            <w:vAlign w:val="center"/>
            <w:hideMark/>
          </w:tcPr>
          <w:p w14:paraId="5555C1B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2ADB36D1" w14:textId="77777777" w:rsidTr="006120CE">
        <w:trPr>
          <w:trHeight w:val="1398"/>
        </w:trPr>
        <w:tc>
          <w:tcPr>
            <w:tcW w:w="471" w:type="pct"/>
            <w:vMerge w:val="restart"/>
            <w:tcBorders>
              <w:top w:val="nil"/>
              <w:left w:val="nil"/>
              <w:bottom w:val="single" w:sz="8" w:space="0" w:color="000000"/>
              <w:right w:val="nil"/>
            </w:tcBorders>
            <w:shd w:val="clear" w:color="000000" w:fill="EE5859"/>
            <w:vAlign w:val="center"/>
            <w:hideMark/>
          </w:tcPr>
          <w:p w14:paraId="4C4D3B18"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lastRenderedPageBreak/>
              <w:t>Outcome 3 – Equitable Quality Social Services</w:t>
            </w:r>
          </w:p>
        </w:tc>
        <w:tc>
          <w:tcPr>
            <w:tcW w:w="891" w:type="pct"/>
            <w:tcBorders>
              <w:top w:val="nil"/>
              <w:left w:val="single" w:sz="8" w:space="0" w:color="auto"/>
              <w:bottom w:val="single" w:sz="4" w:space="0" w:color="auto"/>
              <w:right w:val="single" w:sz="4" w:space="0" w:color="auto"/>
            </w:tcBorders>
            <w:shd w:val="clear" w:color="auto" w:fill="auto"/>
            <w:vAlign w:val="center"/>
            <w:hideMark/>
          </w:tcPr>
          <w:p w14:paraId="49E0DB5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people provided with quality reproductive health services (disaggregated by sex and age)</w:t>
            </w:r>
          </w:p>
        </w:tc>
        <w:tc>
          <w:tcPr>
            <w:tcW w:w="864" w:type="pct"/>
            <w:tcBorders>
              <w:top w:val="nil"/>
              <w:left w:val="nil"/>
              <w:bottom w:val="single" w:sz="4" w:space="0" w:color="auto"/>
              <w:right w:val="single" w:sz="4" w:space="0" w:color="auto"/>
            </w:tcBorders>
            <w:shd w:val="clear" w:color="auto" w:fill="auto"/>
            <w:vAlign w:val="center"/>
            <w:hideMark/>
          </w:tcPr>
          <w:p w14:paraId="524B675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31C8E43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WHO, UNFPA, UNICEF</w:t>
            </w:r>
          </w:p>
        </w:tc>
        <w:tc>
          <w:tcPr>
            <w:tcW w:w="760" w:type="pct"/>
            <w:tcBorders>
              <w:top w:val="nil"/>
              <w:left w:val="nil"/>
              <w:bottom w:val="single" w:sz="4" w:space="0" w:color="auto"/>
              <w:right w:val="single" w:sz="4" w:space="0" w:color="auto"/>
            </w:tcBorders>
            <w:shd w:val="clear" w:color="auto" w:fill="auto"/>
            <w:vAlign w:val="center"/>
            <w:hideMark/>
          </w:tcPr>
          <w:p w14:paraId="02E85A9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of services provided</w:t>
            </w:r>
          </w:p>
        </w:tc>
        <w:tc>
          <w:tcPr>
            <w:tcW w:w="406" w:type="pct"/>
            <w:tcBorders>
              <w:top w:val="nil"/>
              <w:left w:val="nil"/>
              <w:bottom w:val="single" w:sz="4" w:space="0" w:color="auto"/>
              <w:right w:val="single" w:sz="4" w:space="0" w:color="auto"/>
            </w:tcBorders>
            <w:shd w:val="clear" w:color="auto" w:fill="auto"/>
            <w:vAlign w:val="center"/>
            <w:hideMark/>
          </w:tcPr>
          <w:p w14:paraId="26E729D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0D3C192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559E096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w:t>
            </w:r>
          </w:p>
        </w:tc>
      </w:tr>
      <w:tr w:rsidR="00B67E02" w:rsidRPr="00B67E02" w14:paraId="75AB0A58" w14:textId="77777777" w:rsidTr="006120CE">
        <w:trPr>
          <w:trHeight w:val="1130"/>
        </w:trPr>
        <w:tc>
          <w:tcPr>
            <w:tcW w:w="471" w:type="pct"/>
            <w:vMerge/>
            <w:tcBorders>
              <w:top w:val="nil"/>
              <w:left w:val="nil"/>
              <w:bottom w:val="single" w:sz="8" w:space="0" w:color="000000"/>
              <w:right w:val="nil"/>
            </w:tcBorders>
            <w:vAlign w:val="center"/>
            <w:hideMark/>
          </w:tcPr>
          <w:p w14:paraId="36D2C293"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8" w:space="0" w:color="auto"/>
              <w:bottom w:val="single" w:sz="4" w:space="0" w:color="auto"/>
              <w:right w:val="single" w:sz="4" w:space="0" w:color="auto"/>
            </w:tcBorders>
            <w:shd w:val="clear" w:color="auto" w:fill="auto"/>
            <w:vAlign w:val="center"/>
            <w:hideMark/>
          </w:tcPr>
          <w:p w14:paraId="4E7F424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trainings provided to enhance government capacities in improved service delivery (disaggregated by sector)</w:t>
            </w:r>
          </w:p>
        </w:tc>
        <w:tc>
          <w:tcPr>
            <w:tcW w:w="864" w:type="pct"/>
            <w:tcBorders>
              <w:top w:val="nil"/>
              <w:left w:val="nil"/>
              <w:bottom w:val="single" w:sz="4" w:space="0" w:color="auto"/>
              <w:right w:val="single" w:sz="4" w:space="0" w:color="auto"/>
            </w:tcBorders>
            <w:shd w:val="clear" w:color="auto" w:fill="auto"/>
            <w:vAlign w:val="center"/>
            <w:hideMark/>
          </w:tcPr>
          <w:p w14:paraId="031EF64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Education, health, FSL, protection cluster</w:t>
            </w:r>
          </w:p>
        </w:tc>
        <w:tc>
          <w:tcPr>
            <w:tcW w:w="558" w:type="pct"/>
            <w:tcBorders>
              <w:top w:val="nil"/>
              <w:left w:val="nil"/>
              <w:bottom w:val="single" w:sz="4" w:space="0" w:color="auto"/>
              <w:right w:val="single" w:sz="4" w:space="0" w:color="auto"/>
            </w:tcBorders>
            <w:shd w:val="clear" w:color="000000" w:fill="FFFFFF"/>
            <w:vAlign w:val="center"/>
            <w:hideMark/>
          </w:tcPr>
          <w:p w14:paraId="55DA38F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WFP, UNDP, ILO, UN Women, UNDP</w:t>
            </w:r>
          </w:p>
        </w:tc>
        <w:tc>
          <w:tcPr>
            <w:tcW w:w="760" w:type="pct"/>
            <w:tcBorders>
              <w:top w:val="single" w:sz="8" w:space="0" w:color="auto"/>
              <w:left w:val="nil"/>
              <w:bottom w:val="single" w:sz="4" w:space="0" w:color="auto"/>
              <w:right w:val="single" w:sz="4" w:space="0" w:color="auto"/>
            </w:tcBorders>
            <w:shd w:val="clear" w:color="auto" w:fill="auto"/>
            <w:vAlign w:val="center"/>
            <w:hideMark/>
          </w:tcPr>
          <w:p w14:paraId="2FC8204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and partner records</w:t>
            </w:r>
          </w:p>
        </w:tc>
        <w:tc>
          <w:tcPr>
            <w:tcW w:w="406" w:type="pct"/>
            <w:tcBorders>
              <w:top w:val="nil"/>
              <w:left w:val="nil"/>
              <w:bottom w:val="single" w:sz="4" w:space="0" w:color="auto"/>
              <w:right w:val="single" w:sz="4" w:space="0" w:color="auto"/>
            </w:tcBorders>
            <w:shd w:val="clear" w:color="auto" w:fill="auto"/>
            <w:vAlign w:val="center"/>
            <w:hideMark/>
          </w:tcPr>
          <w:p w14:paraId="2B8BAF7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28D665D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440E5A4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Sector</w:t>
            </w:r>
          </w:p>
        </w:tc>
      </w:tr>
      <w:tr w:rsidR="00B67E02" w:rsidRPr="00B67E02" w14:paraId="303DF380" w14:textId="77777777" w:rsidTr="006120CE">
        <w:trPr>
          <w:trHeight w:val="978"/>
        </w:trPr>
        <w:tc>
          <w:tcPr>
            <w:tcW w:w="471" w:type="pct"/>
            <w:vMerge/>
            <w:tcBorders>
              <w:top w:val="nil"/>
              <w:left w:val="nil"/>
              <w:bottom w:val="single" w:sz="8" w:space="0" w:color="000000"/>
              <w:right w:val="nil"/>
            </w:tcBorders>
            <w:vAlign w:val="center"/>
            <w:hideMark/>
          </w:tcPr>
          <w:p w14:paraId="3DB8D206"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8" w:space="0" w:color="auto"/>
              <w:bottom w:val="single" w:sz="4" w:space="0" w:color="auto"/>
              <w:right w:val="single" w:sz="4" w:space="0" w:color="auto"/>
            </w:tcBorders>
            <w:shd w:val="clear" w:color="auto" w:fill="auto"/>
            <w:vAlign w:val="center"/>
            <w:hideMark/>
          </w:tcPr>
          <w:p w14:paraId="765DF3F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people benefitting from improved service delivery (disaggregated by sector, sex and age)</w:t>
            </w:r>
          </w:p>
        </w:tc>
        <w:tc>
          <w:tcPr>
            <w:tcW w:w="864" w:type="pct"/>
            <w:tcBorders>
              <w:top w:val="nil"/>
              <w:left w:val="nil"/>
              <w:bottom w:val="single" w:sz="4" w:space="0" w:color="auto"/>
              <w:right w:val="single" w:sz="4" w:space="0" w:color="auto"/>
            </w:tcBorders>
            <w:shd w:val="clear" w:color="auto" w:fill="auto"/>
            <w:vAlign w:val="center"/>
            <w:hideMark/>
          </w:tcPr>
          <w:p w14:paraId="0D66198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Education, health, FSL, protection cluster</w:t>
            </w:r>
          </w:p>
        </w:tc>
        <w:tc>
          <w:tcPr>
            <w:tcW w:w="558" w:type="pct"/>
            <w:tcBorders>
              <w:top w:val="nil"/>
              <w:left w:val="nil"/>
              <w:bottom w:val="single" w:sz="4" w:space="0" w:color="auto"/>
              <w:right w:val="single" w:sz="4" w:space="0" w:color="auto"/>
            </w:tcBorders>
            <w:shd w:val="clear" w:color="000000" w:fill="FFFFFF"/>
            <w:vAlign w:val="center"/>
            <w:hideMark/>
          </w:tcPr>
          <w:p w14:paraId="20ED7FF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WFP, UNICEF, UNDP, UNHCR</w:t>
            </w:r>
          </w:p>
        </w:tc>
        <w:tc>
          <w:tcPr>
            <w:tcW w:w="760" w:type="pct"/>
            <w:tcBorders>
              <w:top w:val="single" w:sz="8" w:space="0" w:color="auto"/>
              <w:left w:val="nil"/>
              <w:bottom w:val="single" w:sz="4" w:space="0" w:color="auto"/>
              <w:right w:val="single" w:sz="4" w:space="0" w:color="auto"/>
            </w:tcBorders>
            <w:shd w:val="clear" w:color="auto" w:fill="auto"/>
            <w:vAlign w:val="center"/>
            <w:hideMark/>
          </w:tcPr>
          <w:p w14:paraId="52523A1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and partner records</w:t>
            </w:r>
          </w:p>
        </w:tc>
        <w:tc>
          <w:tcPr>
            <w:tcW w:w="406" w:type="pct"/>
            <w:tcBorders>
              <w:top w:val="nil"/>
              <w:left w:val="nil"/>
              <w:bottom w:val="single" w:sz="4" w:space="0" w:color="auto"/>
              <w:right w:val="single" w:sz="4" w:space="0" w:color="auto"/>
            </w:tcBorders>
            <w:shd w:val="clear" w:color="auto" w:fill="auto"/>
            <w:vAlign w:val="center"/>
            <w:hideMark/>
          </w:tcPr>
          <w:p w14:paraId="378B294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70BC112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79EA655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Sector, SADD</w:t>
            </w:r>
          </w:p>
        </w:tc>
      </w:tr>
      <w:tr w:rsidR="00B67E02" w:rsidRPr="00B67E02" w14:paraId="3553B8F5" w14:textId="77777777" w:rsidTr="006120CE">
        <w:trPr>
          <w:trHeight w:val="1234"/>
        </w:trPr>
        <w:tc>
          <w:tcPr>
            <w:tcW w:w="471" w:type="pct"/>
            <w:vMerge/>
            <w:tcBorders>
              <w:top w:val="nil"/>
              <w:left w:val="nil"/>
              <w:bottom w:val="single" w:sz="8" w:space="0" w:color="000000"/>
              <w:right w:val="nil"/>
            </w:tcBorders>
            <w:vAlign w:val="center"/>
            <w:hideMark/>
          </w:tcPr>
          <w:p w14:paraId="53B340F4"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8" w:space="0" w:color="auto"/>
              <w:bottom w:val="single" w:sz="4" w:space="0" w:color="auto"/>
              <w:right w:val="single" w:sz="4" w:space="0" w:color="auto"/>
            </w:tcBorders>
            <w:shd w:val="clear" w:color="auto" w:fill="auto"/>
            <w:vAlign w:val="center"/>
            <w:hideMark/>
          </w:tcPr>
          <w:p w14:paraId="1ECFA71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people (disaggregated by sex and age) accessing clinics providing quality health services as per established standards</w:t>
            </w:r>
          </w:p>
        </w:tc>
        <w:tc>
          <w:tcPr>
            <w:tcW w:w="864" w:type="pct"/>
            <w:tcBorders>
              <w:top w:val="nil"/>
              <w:left w:val="nil"/>
              <w:bottom w:val="nil"/>
              <w:right w:val="single" w:sz="4" w:space="0" w:color="auto"/>
            </w:tcBorders>
            <w:shd w:val="clear" w:color="auto" w:fill="auto"/>
            <w:vAlign w:val="center"/>
            <w:hideMark/>
          </w:tcPr>
          <w:p w14:paraId="1F4AA82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nil"/>
              <w:right w:val="single" w:sz="4" w:space="0" w:color="auto"/>
            </w:tcBorders>
            <w:shd w:val="clear" w:color="000000" w:fill="FFFFFF"/>
            <w:vAlign w:val="center"/>
            <w:hideMark/>
          </w:tcPr>
          <w:p w14:paraId="0E22995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WHO, UNHCR, UNICEF</w:t>
            </w:r>
          </w:p>
        </w:tc>
        <w:tc>
          <w:tcPr>
            <w:tcW w:w="760" w:type="pct"/>
            <w:tcBorders>
              <w:top w:val="single" w:sz="8" w:space="0" w:color="auto"/>
              <w:left w:val="nil"/>
              <w:bottom w:val="single" w:sz="4" w:space="0" w:color="auto"/>
              <w:right w:val="single" w:sz="4" w:space="0" w:color="auto"/>
            </w:tcBorders>
            <w:shd w:val="clear" w:color="auto" w:fill="auto"/>
            <w:vAlign w:val="center"/>
            <w:hideMark/>
          </w:tcPr>
          <w:p w14:paraId="60628EE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of visits to clinics and other medical centres</w:t>
            </w:r>
          </w:p>
        </w:tc>
        <w:tc>
          <w:tcPr>
            <w:tcW w:w="406" w:type="pct"/>
            <w:tcBorders>
              <w:top w:val="nil"/>
              <w:left w:val="nil"/>
              <w:bottom w:val="single" w:sz="4" w:space="0" w:color="auto"/>
              <w:right w:val="single" w:sz="4" w:space="0" w:color="auto"/>
            </w:tcBorders>
            <w:shd w:val="clear" w:color="auto" w:fill="auto"/>
            <w:vAlign w:val="center"/>
            <w:hideMark/>
          </w:tcPr>
          <w:p w14:paraId="40101E8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nil"/>
              <w:right w:val="single" w:sz="4" w:space="0" w:color="auto"/>
            </w:tcBorders>
            <w:shd w:val="clear" w:color="auto" w:fill="auto"/>
            <w:vAlign w:val="center"/>
            <w:hideMark/>
          </w:tcPr>
          <w:p w14:paraId="456F5A1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5BDFD74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w:t>
            </w:r>
          </w:p>
        </w:tc>
      </w:tr>
      <w:tr w:rsidR="00B67E02" w:rsidRPr="00B67E02" w14:paraId="5C629128" w14:textId="77777777" w:rsidTr="006120CE">
        <w:trPr>
          <w:trHeight w:val="656"/>
        </w:trPr>
        <w:tc>
          <w:tcPr>
            <w:tcW w:w="471" w:type="pct"/>
            <w:vMerge/>
            <w:tcBorders>
              <w:top w:val="nil"/>
              <w:left w:val="nil"/>
              <w:bottom w:val="single" w:sz="8" w:space="0" w:color="000000"/>
              <w:right w:val="nil"/>
            </w:tcBorders>
            <w:vAlign w:val="center"/>
            <w:hideMark/>
          </w:tcPr>
          <w:p w14:paraId="67EB5EE0"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8" w:space="0" w:color="auto"/>
              <w:bottom w:val="nil"/>
              <w:right w:val="single" w:sz="4" w:space="0" w:color="auto"/>
            </w:tcBorders>
            <w:shd w:val="clear" w:color="auto" w:fill="auto"/>
            <w:vAlign w:val="center"/>
            <w:hideMark/>
          </w:tcPr>
          <w:p w14:paraId="4BA3A95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children enrolled in government and UNRWA schools</w:t>
            </w:r>
          </w:p>
        </w:tc>
        <w:tc>
          <w:tcPr>
            <w:tcW w:w="864" w:type="pct"/>
            <w:tcBorders>
              <w:top w:val="single" w:sz="4" w:space="0" w:color="auto"/>
              <w:left w:val="nil"/>
              <w:bottom w:val="single" w:sz="4" w:space="0" w:color="auto"/>
              <w:right w:val="single" w:sz="4" w:space="0" w:color="auto"/>
            </w:tcBorders>
            <w:shd w:val="clear" w:color="auto" w:fill="auto"/>
            <w:vAlign w:val="center"/>
            <w:hideMark/>
          </w:tcPr>
          <w:p w14:paraId="60A4530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single" w:sz="4" w:space="0" w:color="auto"/>
              <w:left w:val="nil"/>
              <w:bottom w:val="single" w:sz="4" w:space="0" w:color="auto"/>
              <w:right w:val="single" w:sz="4" w:space="0" w:color="auto"/>
            </w:tcBorders>
            <w:shd w:val="clear" w:color="000000" w:fill="FFFFFF"/>
            <w:vAlign w:val="center"/>
            <w:hideMark/>
          </w:tcPr>
          <w:p w14:paraId="1B115CD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UNESCO, UNICEF, UNRWA</w:t>
            </w:r>
          </w:p>
        </w:tc>
        <w:tc>
          <w:tcPr>
            <w:tcW w:w="760" w:type="pct"/>
            <w:tcBorders>
              <w:top w:val="nil"/>
              <w:left w:val="nil"/>
              <w:bottom w:val="nil"/>
              <w:right w:val="single" w:sz="4" w:space="0" w:color="auto"/>
            </w:tcBorders>
            <w:shd w:val="clear" w:color="auto" w:fill="auto"/>
            <w:vAlign w:val="center"/>
            <w:hideMark/>
          </w:tcPr>
          <w:p w14:paraId="0423EAF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EMISS</w:t>
            </w:r>
          </w:p>
        </w:tc>
        <w:tc>
          <w:tcPr>
            <w:tcW w:w="406" w:type="pct"/>
            <w:tcBorders>
              <w:top w:val="nil"/>
              <w:left w:val="nil"/>
              <w:bottom w:val="single" w:sz="4" w:space="0" w:color="auto"/>
              <w:right w:val="single" w:sz="4" w:space="0" w:color="auto"/>
            </w:tcBorders>
            <w:shd w:val="clear" w:color="auto" w:fill="auto"/>
            <w:vAlign w:val="center"/>
            <w:hideMark/>
          </w:tcPr>
          <w:p w14:paraId="70F9E26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Annually</w:t>
            </w:r>
          </w:p>
        </w:tc>
        <w:tc>
          <w:tcPr>
            <w:tcW w:w="456" w:type="pct"/>
            <w:tcBorders>
              <w:top w:val="single" w:sz="4" w:space="0" w:color="auto"/>
              <w:left w:val="nil"/>
              <w:bottom w:val="single" w:sz="4" w:space="0" w:color="auto"/>
              <w:right w:val="single" w:sz="4" w:space="0" w:color="auto"/>
            </w:tcBorders>
            <w:shd w:val="clear" w:color="auto" w:fill="auto"/>
            <w:vAlign w:val="center"/>
            <w:hideMark/>
          </w:tcPr>
          <w:p w14:paraId="3D6FF0C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 directorates</w:t>
            </w:r>
          </w:p>
        </w:tc>
        <w:tc>
          <w:tcPr>
            <w:tcW w:w="594" w:type="pct"/>
            <w:tcBorders>
              <w:top w:val="nil"/>
              <w:left w:val="nil"/>
              <w:bottom w:val="nil"/>
              <w:right w:val="single" w:sz="8" w:space="0" w:color="auto"/>
            </w:tcBorders>
            <w:shd w:val="clear" w:color="auto" w:fill="auto"/>
            <w:vAlign w:val="center"/>
            <w:hideMark/>
          </w:tcPr>
          <w:p w14:paraId="0A75985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grade, nationality</w:t>
            </w:r>
          </w:p>
        </w:tc>
      </w:tr>
      <w:tr w:rsidR="006120CE" w:rsidRPr="00B67E02" w14:paraId="4AD0E8F3" w14:textId="77777777" w:rsidTr="006120CE">
        <w:trPr>
          <w:trHeight w:val="867"/>
        </w:trPr>
        <w:tc>
          <w:tcPr>
            <w:tcW w:w="471" w:type="pct"/>
            <w:vMerge/>
            <w:tcBorders>
              <w:top w:val="nil"/>
              <w:left w:val="nil"/>
              <w:bottom w:val="single" w:sz="8" w:space="0" w:color="000000"/>
              <w:right w:val="nil"/>
            </w:tcBorders>
            <w:vAlign w:val="center"/>
            <w:hideMark/>
          </w:tcPr>
          <w:p w14:paraId="4C678AEA" w14:textId="77777777" w:rsidR="00B67E02" w:rsidRPr="00B67E02" w:rsidRDefault="00B67E02" w:rsidP="00B67E02">
            <w:pPr>
              <w:spacing w:before="0" w:after="0"/>
              <w:rPr>
                <w:rFonts w:eastAsia="Times New Roman"/>
                <w:b/>
                <w:bCs/>
                <w:color w:val="FFFFFF"/>
                <w:lang w:eastAsia="en-GB"/>
              </w:rPr>
            </w:pPr>
          </w:p>
        </w:tc>
        <w:tc>
          <w:tcPr>
            <w:tcW w:w="891"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B49159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children benefitting from provision of schools meals in government schools</w:t>
            </w:r>
          </w:p>
        </w:tc>
        <w:tc>
          <w:tcPr>
            <w:tcW w:w="864" w:type="pct"/>
            <w:tcBorders>
              <w:top w:val="nil"/>
              <w:left w:val="nil"/>
              <w:bottom w:val="single" w:sz="8" w:space="0" w:color="auto"/>
              <w:right w:val="single" w:sz="4" w:space="0" w:color="auto"/>
            </w:tcBorders>
            <w:shd w:val="clear" w:color="auto" w:fill="auto"/>
            <w:vAlign w:val="center"/>
            <w:hideMark/>
          </w:tcPr>
          <w:p w14:paraId="7DCF035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nil"/>
              <w:right w:val="single" w:sz="4" w:space="0" w:color="auto"/>
            </w:tcBorders>
            <w:shd w:val="clear" w:color="000000" w:fill="FFFFFF"/>
            <w:vAlign w:val="center"/>
            <w:hideMark/>
          </w:tcPr>
          <w:p w14:paraId="09C13D7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WFP, UNRWA</w:t>
            </w:r>
          </w:p>
        </w:tc>
        <w:tc>
          <w:tcPr>
            <w:tcW w:w="760" w:type="pct"/>
            <w:tcBorders>
              <w:top w:val="single" w:sz="4" w:space="0" w:color="auto"/>
              <w:left w:val="nil"/>
              <w:bottom w:val="nil"/>
              <w:right w:val="single" w:sz="4" w:space="0" w:color="auto"/>
            </w:tcBorders>
            <w:shd w:val="clear" w:color="auto" w:fill="auto"/>
            <w:vAlign w:val="center"/>
            <w:hideMark/>
          </w:tcPr>
          <w:p w14:paraId="555FABB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of receiving meals</w:t>
            </w:r>
          </w:p>
        </w:tc>
        <w:tc>
          <w:tcPr>
            <w:tcW w:w="406" w:type="pct"/>
            <w:tcBorders>
              <w:top w:val="nil"/>
              <w:left w:val="nil"/>
              <w:bottom w:val="nil"/>
              <w:right w:val="single" w:sz="4" w:space="0" w:color="auto"/>
            </w:tcBorders>
            <w:shd w:val="clear" w:color="auto" w:fill="auto"/>
            <w:vAlign w:val="center"/>
            <w:hideMark/>
          </w:tcPr>
          <w:p w14:paraId="524B48C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8" w:space="0" w:color="auto"/>
              <w:right w:val="single" w:sz="4" w:space="0" w:color="auto"/>
            </w:tcBorders>
            <w:shd w:val="clear" w:color="auto" w:fill="auto"/>
            <w:vAlign w:val="center"/>
            <w:hideMark/>
          </w:tcPr>
          <w:p w14:paraId="2D339DB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 and directorates</w:t>
            </w:r>
          </w:p>
        </w:tc>
        <w:tc>
          <w:tcPr>
            <w:tcW w:w="594" w:type="pct"/>
            <w:tcBorders>
              <w:top w:val="single" w:sz="4" w:space="0" w:color="auto"/>
              <w:left w:val="nil"/>
              <w:bottom w:val="single" w:sz="8" w:space="0" w:color="auto"/>
              <w:right w:val="single" w:sz="8" w:space="0" w:color="auto"/>
            </w:tcBorders>
            <w:shd w:val="clear" w:color="auto" w:fill="auto"/>
            <w:vAlign w:val="center"/>
            <w:hideMark/>
          </w:tcPr>
          <w:p w14:paraId="30370BE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w:t>
            </w:r>
          </w:p>
        </w:tc>
      </w:tr>
      <w:tr w:rsidR="00B67E02" w:rsidRPr="00B67E02" w14:paraId="59576655" w14:textId="77777777" w:rsidTr="006120CE">
        <w:trPr>
          <w:trHeight w:val="1845"/>
        </w:trPr>
        <w:tc>
          <w:tcPr>
            <w:tcW w:w="471" w:type="pct"/>
            <w:vMerge w:val="restart"/>
            <w:tcBorders>
              <w:top w:val="nil"/>
              <w:left w:val="single" w:sz="8" w:space="0" w:color="auto"/>
              <w:bottom w:val="single" w:sz="8" w:space="0" w:color="000000"/>
              <w:right w:val="single" w:sz="8" w:space="0" w:color="auto"/>
            </w:tcBorders>
            <w:shd w:val="clear" w:color="000000" w:fill="EE5859"/>
            <w:vAlign w:val="center"/>
            <w:hideMark/>
          </w:tcPr>
          <w:p w14:paraId="4B857D0E"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Outcome 4 – Investing in Young People</w:t>
            </w:r>
          </w:p>
        </w:tc>
        <w:tc>
          <w:tcPr>
            <w:tcW w:w="891" w:type="pct"/>
            <w:tcBorders>
              <w:top w:val="nil"/>
              <w:left w:val="nil"/>
              <w:bottom w:val="single" w:sz="4" w:space="0" w:color="auto"/>
              <w:right w:val="single" w:sz="4" w:space="0" w:color="auto"/>
            </w:tcBorders>
            <w:shd w:val="clear" w:color="000000" w:fill="FFFFFF"/>
            <w:vAlign w:val="center"/>
            <w:hideMark/>
          </w:tcPr>
          <w:p w14:paraId="5B1B669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youth reached in engagement and civic initiative activities (disaggregated by age to streamline to 15-24 years, also what is engagement and civic initiatives?)</w:t>
            </w:r>
          </w:p>
        </w:tc>
        <w:tc>
          <w:tcPr>
            <w:tcW w:w="864" w:type="pct"/>
            <w:tcBorders>
              <w:top w:val="nil"/>
              <w:left w:val="nil"/>
              <w:bottom w:val="single" w:sz="4" w:space="0" w:color="auto"/>
              <w:right w:val="single" w:sz="4" w:space="0" w:color="auto"/>
            </w:tcBorders>
            <w:shd w:val="clear" w:color="auto" w:fill="auto"/>
            <w:vAlign w:val="center"/>
            <w:hideMark/>
          </w:tcPr>
          <w:p w14:paraId="453A926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NGO records, UNICEF records, Ministry of Youth records</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14:paraId="730F6F6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UNICEF</w:t>
            </w:r>
          </w:p>
        </w:tc>
        <w:tc>
          <w:tcPr>
            <w:tcW w:w="760" w:type="pct"/>
            <w:tcBorders>
              <w:top w:val="single" w:sz="8" w:space="0" w:color="auto"/>
              <w:left w:val="nil"/>
              <w:bottom w:val="single" w:sz="4" w:space="0" w:color="auto"/>
              <w:right w:val="single" w:sz="4" w:space="0" w:color="auto"/>
            </w:tcBorders>
            <w:shd w:val="clear" w:color="auto" w:fill="auto"/>
            <w:vAlign w:val="center"/>
            <w:hideMark/>
          </w:tcPr>
          <w:p w14:paraId="3232AC0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Activity reports, attendence sheets</w:t>
            </w:r>
          </w:p>
        </w:tc>
        <w:tc>
          <w:tcPr>
            <w:tcW w:w="406" w:type="pct"/>
            <w:tcBorders>
              <w:top w:val="single" w:sz="8" w:space="0" w:color="auto"/>
              <w:left w:val="nil"/>
              <w:bottom w:val="single" w:sz="4" w:space="0" w:color="auto"/>
              <w:right w:val="single" w:sz="4" w:space="0" w:color="auto"/>
            </w:tcBorders>
            <w:shd w:val="clear" w:color="auto" w:fill="auto"/>
            <w:vAlign w:val="center"/>
            <w:hideMark/>
          </w:tcPr>
          <w:p w14:paraId="5CFE2CB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1E06F7E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0C5FFC1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Geographic, sectoral</w:t>
            </w:r>
          </w:p>
        </w:tc>
      </w:tr>
      <w:tr w:rsidR="00B67E02" w:rsidRPr="00B67E02" w14:paraId="18DA810A" w14:textId="77777777" w:rsidTr="006120CE">
        <w:trPr>
          <w:trHeight w:val="1256"/>
        </w:trPr>
        <w:tc>
          <w:tcPr>
            <w:tcW w:w="471" w:type="pct"/>
            <w:vMerge/>
            <w:tcBorders>
              <w:top w:val="nil"/>
              <w:left w:val="single" w:sz="8" w:space="0" w:color="auto"/>
              <w:bottom w:val="single" w:sz="8" w:space="0" w:color="000000"/>
              <w:right w:val="single" w:sz="8" w:space="0" w:color="auto"/>
            </w:tcBorders>
            <w:vAlign w:val="center"/>
            <w:hideMark/>
          </w:tcPr>
          <w:p w14:paraId="08FDB282"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000000" w:fill="FFFFFF"/>
            <w:vAlign w:val="center"/>
            <w:hideMark/>
          </w:tcPr>
          <w:p w14:paraId="07B5E0B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xml:space="preserve">% of unemployed Jordanians aged 15 years and above, by sex and governorate  </w:t>
            </w:r>
          </w:p>
        </w:tc>
        <w:tc>
          <w:tcPr>
            <w:tcW w:w="864" w:type="pct"/>
            <w:tcBorders>
              <w:top w:val="nil"/>
              <w:left w:val="nil"/>
              <w:bottom w:val="single" w:sz="4" w:space="0" w:color="auto"/>
              <w:right w:val="single" w:sz="4" w:space="0" w:color="auto"/>
            </w:tcBorders>
            <w:shd w:val="clear" w:color="auto" w:fill="auto"/>
            <w:vAlign w:val="center"/>
            <w:hideMark/>
          </w:tcPr>
          <w:p w14:paraId="677AD53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Government records</w:t>
            </w:r>
          </w:p>
        </w:tc>
        <w:tc>
          <w:tcPr>
            <w:tcW w:w="558" w:type="pct"/>
            <w:tcBorders>
              <w:top w:val="nil"/>
              <w:left w:val="nil"/>
              <w:bottom w:val="single" w:sz="4" w:space="0" w:color="auto"/>
              <w:right w:val="single" w:sz="4" w:space="0" w:color="auto"/>
            </w:tcBorders>
            <w:shd w:val="clear" w:color="000000" w:fill="FFFFFF"/>
            <w:vAlign w:val="center"/>
            <w:hideMark/>
          </w:tcPr>
          <w:p w14:paraId="6E52D88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DoS, MoL</w:t>
            </w:r>
          </w:p>
        </w:tc>
        <w:tc>
          <w:tcPr>
            <w:tcW w:w="760" w:type="pct"/>
            <w:tcBorders>
              <w:top w:val="nil"/>
              <w:left w:val="nil"/>
              <w:bottom w:val="single" w:sz="4" w:space="0" w:color="auto"/>
              <w:right w:val="single" w:sz="4" w:space="0" w:color="auto"/>
            </w:tcBorders>
            <w:shd w:val="clear" w:color="auto" w:fill="auto"/>
            <w:vAlign w:val="center"/>
            <w:hideMark/>
          </w:tcPr>
          <w:p w14:paraId="7B489CC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Employment monitoring</w:t>
            </w:r>
          </w:p>
        </w:tc>
        <w:tc>
          <w:tcPr>
            <w:tcW w:w="406" w:type="pct"/>
            <w:tcBorders>
              <w:top w:val="nil"/>
              <w:left w:val="nil"/>
              <w:bottom w:val="single" w:sz="4" w:space="0" w:color="auto"/>
              <w:right w:val="single" w:sz="4" w:space="0" w:color="auto"/>
            </w:tcBorders>
            <w:shd w:val="clear" w:color="auto" w:fill="auto"/>
            <w:vAlign w:val="center"/>
            <w:hideMark/>
          </w:tcPr>
          <w:p w14:paraId="2BB4AA3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4CF29A9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12210C1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Geographic, age</w:t>
            </w:r>
          </w:p>
        </w:tc>
      </w:tr>
      <w:tr w:rsidR="00B67E02" w:rsidRPr="00B67E02" w14:paraId="6CAAACED" w14:textId="77777777" w:rsidTr="006120CE">
        <w:trPr>
          <w:trHeight w:val="845"/>
        </w:trPr>
        <w:tc>
          <w:tcPr>
            <w:tcW w:w="471" w:type="pct"/>
            <w:vMerge/>
            <w:tcBorders>
              <w:top w:val="nil"/>
              <w:left w:val="single" w:sz="8" w:space="0" w:color="auto"/>
              <w:bottom w:val="single" w:sz="8" w:space="0" w:color="000000"/>
              <w:right w:val="single" w:sz="8" w:space="0" w:color="auto"/>
            </w:tcBorders>
            <w:vAlign w:val="center"/>
            <w:hideMark/>
          </w:tcPr>
          <w:p w14:paraId="11952192"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nil"/>
            </w:tcBorders>
            <w:shd w:val="clear" w:color="000000" w:fill="FFFFFF"/>
            <w:vAlign w:val="center"/>
            <w:hideMark/>
          </w:tcPr>
          <w:p w14:paraId="213595B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Jordanians aged 15 years and above, by sex and governorate, participating in the labour force</w:t>
            </w:r>
          </w:p>
        </w:tc>
        <w:tc>
          <w:tcPr>
            <w:tcW w:w="864" w:type="pct"/>
            <w:tcBorders>
              <w:top w:val="nil"/>
              <w:left w:val="single" w:sz="4" w:space="0" w:color="auto"/>
              <w:bottom w:val="single" w:sz="4" w:space="0" w:color="auto"/>
              <w:right w:val="single" w:sz="4" w:space="0" w:color="auto"/>
            </w:tcBorders>
            <w:shd w:val="clear" w:color="auto" w:fill="auto"/>
            <w:vAlign w:val="center"/>
            <w:hideMark/>
          </w:tcPr>
          <w:p w14:paraId="1FBD3F6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Government records</w:t>
            </w:r>
          </w:p>
        </w:tc>
        <w:tc>
          <w:tcPr>
            <w:tcW w:w="558" w:type="pct"/>
            <w:tcBorders>
              <w:top w:val="nil"/>
              <w:left w:val="nil"/>
              <w:bottom w:val="single" w:sz="4" w:space="0" w:color="auto"/>
              <w:right w:val="single" w:sz="4" w:space="0" w:color="auto"/>
            </w:tcBorders>
            <w:shd w:val="clear" w:color="000000" w:fill="FFFFFF"/>
            <w:vAlign w:val="center"/>
            <w:hideMark/>
          </w:tcPr>
          <w:p w14:paraId="3A356B6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DoS, MoL</w:t>
            </w:r>
          </w:p>
        </w:tc>
        <w:tc>
          <w:tcPr>
            <w:tcW w:w="760" w:type="pct"/>
            <w:tcBorders>
              <w:top w:val="nil"/>
              <w:left w:val="nil"/>
              <w:bottom w:val="single" w:sz="4" w:space="0" w:color="auto"/>
              <w:right w:val="single" w:sz="4" w:space="0" w:color="auto"/>
            </w:tcBorders>
            <w:shd w:val="clear" w:color="auto" w:fill="auto"/>
            <w:vAlign w:val="center"/>
            <w:hideMark/>
          </w:tcPr>
          <w:p w14:paraId="2E65BE8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Employment monitoring</w:t>
            </w:r>
          </w:p>
        </w:tc>
        <w:tc>
          <w:tcPr>
            <w:tcW w:w="406" w:type="pct"/>
            <w:tcBorders>
              <w:top w:val="nil"/>
              <w:left w:val="nil"/>
              <w:bottom w:val="single" w:sz="4" w:space="0" w:color="auto"/>
              <w:right w:val="single" w:sz="4" w:space="0" w:color="auto"/>
            </w:tcBorders>
            <w:shd w:val="clear" w:color="auto" w:fill="auto"/>
            <w:vAlign w:val="center"/>
            <w:hideMark/>
          </w:tcPr>
          <w:p w14:paraId="104B542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34E73EF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266786C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Geographic, age</w:t>
            </w:r>
          </w:p>
        </w:tc>
      </w:tr>
      <w:tr w:rsidR="00B67E02" w:rsidRPr="00B67E02" w14:paraId="6EDA376B" w14:textId="77777777" w:rsidTr="006120CE">
        <w:trPr>
          <w:trHeight w:val="423"/>
        </w:trPr>
        <w:tc>
          <w:tcPr>
            <w:tcW w:w="471" w:type="pct"/>
            <w:vMerge/>
            <w:tcBorders>
              <w:top w:val="nil"/>
              <w:left w:val="single" w:sz="8" w:space="0" w:color="auto"/>
              <w:bottom w:val="single" w:sz="8" w:space="0" w:color="000000"/>
              <w:right w:val="single" w:sz="8" w:space="0" w:color="auto"/>
            </w:tcBorders>
            <w:vAlign w:val="center"/>
            <w:hideMark/>
          </w:tcPr>
          <w:p w14:paraId="6AB8ED1E"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nil"/>
            </w:tcBorders>
            <w:shd w:val="clear" w:color="000000" w:fill="FFFFFF"/>
            <w:vAlign w:val="center"/>
            <w:hideMark/>
          </w:tcPr>
          <w:p w14:paraId="536D7CD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companies engaging with TVET graduates</w:t>
            </w:r>
          </w:p>
        </w:tc>
        <w:tc>
          <w:tcPr>
            <w:tcW w:w="864" w:type="pct"/>
            <w:tcBorders>
              <w:top w:val="nil"/>
              <w:left w:val="single" w:sz="4" w:space="0" w:color="auto"/>
              <w:bottom w:val="single" w:sz="4" w:space="0" w:color="auto"/>
              <w:right w:val="single" w:sz="4" w:space="0" w:color="auto"/>
            </w:tcBorders>
            <w:shd w:val="clear" w:color="auto" w:fill="auto"/>
            <w:vAlign w:val="center"/>
            <w:hideMark/>
          </w:tcPr>
          <w:p w14:paraId="2A5A9E3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Survey of TVET grads, survey of companies</w:t>
            </w:r>
          </w:p>
        </w:tc>
        <w:tc>
          <w:tcPr>
            <w:tcW w:w="558" w:type="pct"/>
            <w:tcBorders>
              <w:top w:val="nil"/>
              <w:left w:val="nil"/>
              <w:bottom w:val="single" w:sz="4" w:space="0" w:color="auto"/>
              <w:right w:val="single" w:sz="4" w:space="0" w:color="auto"/>
            </w:tcBorders>
            <w:shd w:val="clear" w:color="000000" w:fill="FFFFFF"/>
            <w:vAlign w:val="center"/>
            <w:hideMark/>
          </w:tcPr>
          <w:p w14:paraId="71739B1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UNRWA, UNICEF</w:t>
            </w:r>
          </w:p>
        </w:tc>
        <w:tc>
          <w:tcPr>
            <w:tcW w:w="760" w:type="pct"/>
            <w:tcBorders>
              <w:top w:val="nil"/>
              <w:left w:val="nil"/>
              <w:bottom w:val="single" w:sz="4" w:space="0" w:color="auto"/>
              <w:right w:val="single" w:sz="4" w:space="0" w:color="auto"/>
            </w:tcBorders>
            <w:shd w:val="clear" w:color="auto" w:fill="auto"/>
            <w:vAlign w:val="center"/>
            <w:hideMark/>
          </w:tcPr>
          <w:p w14:paraId="7B117A4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TVET centres records</w:t>
            </w:r>
          </w:p>
        </w:tc>
        <w:tc>
          <w:tcPr>
            <w:tcW w:w="406" w:type="pct"/>
            <w:tcBorders>
              <w:top w:val="nil"/>
              <w:left w:val="nil"/>
              <w:bottom w:val="single" w:sz="4" w:space="0" w:color="auto"/>
              <w:right w:val="single" w:sz="4" w:space="0" w:color="auto"/>
            </w:tcBorders>
            <w:shd w:val="clear" w:color="auto" w:fill="auto"/>
            <w:vAlign w:val="center"/>
            <w:hideMark/>
          </w:tcPr>
          <w:p w14:paraId="688DB79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1FC9BB3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single" w:sz="4" w:space="0" w:color="auto"/>
              <w:right w:val="single" w:sz="8" w:space="0" w:color="auto"/>
            </w:tcBorders>
            <w:shd w:val="clear" w:color="auto" w:fill="auto"/>
            <w:vAlign w:val="center"/>
            <w:hideMark/>
          </w:tcPr>
          <w:p w14:paraId="191FAA7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Sector, gender, geography</w:t>
            </w:r>
          </w:p>
        </w:tc>
      </w:tr>
      <w:tr w:rsidR="00B67E02" w:rsidRPr="00B67E02" w14:paraId="7E6C4235" w14:textId="77777777" w:rsidTr="006120CE">
        <w:trPr>
          <w:trHeight w:val="884"/>
        </w:trPr>
        <w:tc>
          <w:tcPr>
            <w:tcW w:w="471" w:type="pct"/>
            <w:vMerge/>
            <w:tcBorders>
              <w:top w:val="nil"/>
              <w:left w:val="single" w:sz="8" w:space="0" w:color="auto"/>
              <w:bottom w:val="single" w:sz="8" w:space="0" w:color="000000"/>
              <w:right w:val="single" w:sz="8" w:space="0" w:color="auto"/>
            </w:tcBorders>
            <w:vAlign w:val="center"/>
            <w:hideMark/>
          </w:tcPr>
          <w:p w14:paraId="448CEE92"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nil"/>
              <w:right w:val="nil"/>
            </w:tcBorders>
            <w:shd w:val="clear" w:color="auto" w:fill="auto"/>
            <w:vAlign w:val="center"/>
            <w:hideMark/>
          </w:tcPr>
          <w:p w14:paraId="6DA923B0" w14:textId="77777777" w:rsidR="00B67E02" w:rsidRPr="00B67E02" w:rsidRDefault="00B67E02" w:rsidP="00B67E02">
            <w:pPr>
              <w:spacing w:before="0" w:after="0"/>
              <w:jc w:val="center"/>
              <w:rPr>
                <w:rFonts w:ascii="Calibri" w:eastAsia="Times New Roman" w:hAnsi="Calibri"/>
                <w:color w:val="000000"/>
                <w:lang w:eastAsia="en-GB"/>
              </w:rPr>
            </w:pPr>
            <w:r w:rsidRPr="00B67E02">
              <w:rPr>
                <w:rFonts w:ascii="Calibri" w:eastAsia="Times New Roman" w:hAnsi="Calibri"/>
                <w:color w:val="000000"/>
                <w:lang w:eastAsia="en-GB"/>
              </w:rPr>
              <w:t>% of graduates employed from UN TVET centers, within 2 years of graduation (disaggregated by sex)</w:t>
            </w:r>
          </w:p>
        </w:tc>
        <w:tc>
          <w:tcPr>
            <w:tcW w:w="864" w:type="pct"/>
            <w:tcBorders>
              <w:top w:val="nil"/>
              <w:left w:val="single" w:sz="4" w:space="0" w:color="auto"/>
              <w:bottom w:val="nil"/>
              <w:right w:val="single" w:sz="4" w:space="0" w:color="auto"/>
            </w:tcBorders>
            <w:shd w:val="clear" w:color="auto" w:fill="auto"/>
            <w:vAlign w:val="center"/>
            <w:hideMark/>
          </w:tcPr>
          <w:p w14:paraId="0CCB102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TVET center surveys</w:t>
            </w:r>
          </w:p>
        </w:tc>
        <w:tc>
          <w:tcPr>
            <w:tcW w:w="558" w:type="pct"/>
            <w:tcBorders>
              <w:top w:val="nil"/>
              <w:left w:val="nil"/>
              <w:bottom w:val="nil"/>
              <w:right w:val="single" w:sz="4" w:space="0" w:color="auto"/>
            </w:tcBorders>
            <w:shd w:val="clear" w:color="000000" w:fill="FFFFFF"/>
            <w:vAlign w:val="center"/>
            <w:hideMark/>
          </w:tcPr>
          <w:p w14:paraId="65383DE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UNRWA, UNICEF</w:t>
            </w:r>
          </w:p>
        </w:tc>
        <w:tc>
          <w:tcPr>
            <w:tcW w:w="760" w:type="pct"/>
            <w:tcBorders>
              <w:top w:val="nil"/>
              <w:left w:val="nil"/>
              <w:bottom w:val="nil"/>
              <w:right w:val="single" w:sz="4" w:space="0" w:color="auto"/>
            </w:tcBorders>
            <w:shd w:val="clear" w:color="auto" w:fill="auto"/>
            <w:vAlign w:val="center"/>
            <w:hideMark/>
          </w:tcPr>
          <w:p w14:paraId="39AC940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TVET center records, DoS records</w:t>
            </w:r>
          </w:p>
        </w:tc>
        <w:tc>
          <w:tcPr>
            <w:tcW w:w="406" w:type="pct"/>
            <w:tcBorders>
              <w:top w:val="nil"/>
              <w:left w:val="nil"/>
              <w:bottom w:val="nil"/>
              <w:right w:val="single" w:sz="4" w:space="0" w:color="auto"/>
            </w:tcBorders>
            <w:shd w:val="clear" w:color="auto" w:fill="auto"/>
            <w:vAlign w:val="center"/>
            <w:hideMark/>
          </w:tcPr>
          <w:p w14:paraId="2CB8803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Annually</w:t>
            </w:r>
          </w:p>
        </w:tc>
        <w:tc>
          <w:tcPr>
            <w:tcW w:w="456" w:type="pct"/>
            <w:tcBorders>
              <w:top w:val="nil"/>
              <w:left w:val="nil"/>
              <w:bottom w:val="nil"/>
              <w:right w:val="single" w:sz="4" w:space="0" w:color="auto"/>
            </w:tcBorders>
            <w:shd w:val="clear" w:color="auto" w:fill="auto"/>
            <w:vAlign w:val="center"/>
            <w:hideMark/>
          </w:tcPr>
          <w:p w14:paraId="3D1C122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National</w:t>
            </w:r>
          </w:p>
        </w:tc>
        <w:tc>
          <w:tcPr>
            <w:tcW w:w="594" w:type="pct"/>
            <w:tcBorders>
              <w:top w:val="nil"/>
              <w:left w:val="nil"/>
              <w:bottom w:val="nil"/>
              <w:right w:val="single" w:sz="8" w:space="0" w:color="auto"/>
            </w:tcBorders>
            <w:shd w:val="clear" w:color="auto" w:fill="auto"/>
            <w:vAlign w:val="center"/>
            <w:hideMark/>
          </w:tcPr>
          <w:p w14:paraId="78F231C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sector, geography</w:t>
            </w:r>
          </w:p>
        </w:tc>
      </w:tr>
      <w:tr w:rsidR="00B67E02" w:rsidRPr="00B67E02" w14:paraId="51353022" w14:textId="77777777" w:rsidTr="006120CE">
        <w:trPr>
          <w:trHeight w:val="662"/>
        </w:trPr>
        <w:tc>
          <w:tcPr>
            <w:tcW w:w="471" w:type="pct"/>
            <w:vMerge w:val="restart"/>
            <w:tcBorders>
              <w:top w:val="nil"/>
              <w:left w:val="single" w:sz="8" w:space="0" w:color="auto"/>
              <w:bottom w:val="single" w:sz="8" w:space="0" w:color="000000"/>
              <w:right w:val="single" w:sz="4" w:space="0" w:color="auto"/>
            </w:tcBorders>
            <w:shd w:val="clear" w:color="000000" w:fill="EE5859"/>
            <w:vAlign w:val="center"/>
            <w:hideMark/>
          </w:tcPr>
          <w:p w14:paraId="1A34DDF9"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Outcome 5 – Preserving the Environment</w:t>
            </w:r>
          </w:p>
        </w:tc>
        <w:tc>
          <w:tcPr>
            <w:tcW w:w="891" w:type="pct"/>
            <w:tcBorders>
              <w:top w:val="single" w:sz="8" w:space="0" w:color="auto"/>
              <w:left w:val="nil"/>
              <w:bottom w:val="single" w:sz="4" w:space="0" w:color="auto"/>
              <w:right w:val="single" w:sz="4" w:space="0" w:color="auto"/>
            </w:tcBorders>
            <w:shd w:val="clear" w:color="auto" w:fill="auto"/>
            <w:vAlign w:val="center"/>
            <w:hideMark/>
          </w:tcPr>
          <w:p w14:paraId="7934508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municipal authorities assisted with Disaster Risk Reduction capacity building  trainings</w:t>
            </w:r>
          </w:p>
        </w:tc>
        <w:tc>
          <w:tcPr>
            <w:tcW w:w="864" w:type="pct"/>
            <w:tcBorders>
              <w:top w:val="single" w:sz="8" w:space="0" w:color="auto"/>
              <w:left w:val="nil"/>
              <w:bottom w:val="single" w:sz="4" w:space="0" w:color="auto"/>
              <w:right w:val="single" w:sz="4" w:space="0" w:color="auto"/>
            </w:tcBorders>
            <w:shd w:val="clear" w:color="auto" w:fill="auto"/>
            <w:vAlign w:val="center"/>
            <w:hideMark/>
          </w:tcPr>
          <w:p w14:paraId="6702384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single" w:sz="8" w:space="0" w:color="auto"/>
              <w:left w:val="nil"/>
              <w:bottom w:val="single" w:sz="4" w:space="0" w:color="auto"/>
              <w:right w:val="single" w:sz="4" w:space="0" w:color="auto"/>
            </w:tcBorders>
            <w:shd w:val="clear" w:color="000000" w:fill="FFFFFF"/>
            <w:vAlign w:val="center"/>
            <w:hideMark/>
          </w:tcPr>
          <w:p w14:paraId="5B36426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UNDP, FAO</w:t>
            </w:r>
          </w:p>
        </w:tc>
        <w:tc>
          <w:tcPr>
            <w:tcW w:w="760" w:type="pct"/>
            <w:tcBorders>
              <w:top w:val="single" w:sz="8" w:space="0" w:color="auto"/>
              <w:left w:val="nil"/>
              <w:bottom w:val="single" w:sz="4" w:space="0" w:color="auto"/>
              <w:right w:val="single" w:sz="4" w:space="0" w:color="auto"/>
            </w:tcBorders>
            <w:shd w:val="clear" w:color="auto" w:fill="auto"/>
            <w:vAlign w:val="center"/>
            <w:hideMark/>
          </w:tcPr>
          <w:p w14:paraId="4B9F3DB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reords</w:t>
            </w:r>
          </w:p>
        </w:tc>
        <w:tc>
          <w:tcPr>
            <w:tcW w:w="406" w:type="pct"/>
            <w:tcBorders>
              <w:top w:val="single" w:sz="8" w:space="0" w:color="auto"/>
              <w:left w:val="nil"/>
              <w:bottom w:val="single" w:sz="4" w:space="0" w:color="auto"/>
              <w:right w:val="single" w:sz="4" w:space="0" w:color="auto"/>
            </w:tcBorders>
            <w:shd w:val="clear" w:color="auto" w:fill="auto"/>
            <w:vAlign w:val="center"/>
            <w:hideMark/>
          </w:tcPr>
          <w:p w14:paraId="37107C5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single" w:sz="8" w:space="0" w:color="auto"/>
              <w:left w:val="nil"/>
              <w:bottom w:val="single" w:sz="4" w:space="0" w:color="auto"/>
              <w:right w:val="single" w:sz="4" w:space="0" w:color="auto"/>
            </w:tcBorders>
            <w:shd w:val="clear" w:color="auto" w:fill="auto"/>
            <w:vAlign w:val="center"/>
            <w:hideMark/>
          </w:tcPr>
          <w:p w14:paraId="0E7DDE2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single" w:sz="8" w:space="0" w:color="auto"/>
              <w:left w:val="nil"/>
              <w:bottom w:val="single" w:sz="4" w:space="0" w:color="auto"/>
              <w:right w:val="single" w:sz="8" w:space="0" w:color="auto"/>
            </w:tcBorders>
            <w:shd w:val="clear" w:color="auto" w:fill="auto"/>
            <w:vAlign w:val="center"/>
            <w:hideMark/>
          </w:tcPr>
          <w:p w14:paraId="0DC171B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r>
      <w:tr w:rsidR="00B67E02" w:rsidRPr="00B67E02" w14:paraId="5B57133F" w14:textId="77777777" w:rsidTr="006120CE">
        <w:trPr>
          <w:trHeight w:val="2115"/>
        </w:trPr>
        <w:tc>
          <w:tcPr>
            <w:tcW w:w="471" w:type="pct"/>
            <w:vMerge/>
            <w:tcBorders>
              <w:top w:val="nil"/>
              <w:left w:val="single" w:sz="8" w:space="0" w:color="auto"/>
              <w:bottom w:val="single" w:sz="8" w:space="0" w:color="000000"/>
              <w:right w:val="single" w:sz="4" w:space="0" w:color="auto"/>
            </w:tcBorders>
            <w:vAlign w:val="center"/>
            <w:hideMark/>
          </w:tcPr>
          <w:p w14:paraId="00846557"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auto" w:fill="auto"/>
            <w:vAlign w:val="center"/>
            <w:hideMark/>
          </w:tcPr>
          <w:p w14:paraId="72307E0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Tonnes of hazardous waste disposed of safely</w:t>
            </w:r>
          </w:p>
        </w:tc>
        <w:tc>
          <w:tcPr>
            <w:tcW w:w="864" w:type="pct"/>
            <w:tcBorders>
              <w:top w:val="nil"/>
              <w:left w:val="nil"/>
              <w:bottom w:val="single" w:sz="4" w:space="0" w:color="auto"/>
              <w:right w:val="single" w:sz="4" w:space="0" w:color="auto"/>
            </w:tcBorders>
            <w:shd w:val="clear" w:color="auto" w:fill="auto"/>
            <w:vAlign w:val="center"/>
            <w:hideMark/>
          </w:tcPr>
          <w:p w14:paraId="496031C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0A61A2B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UNDP</w:t>
            </w:r>
          </w:p>
        </w:tc>
        <w:tc>
          <w:tcPr>
            <w:tcW w:w="760" w:type="pct"/>
            <w:tcBorders>
              <w:top w:val="nil"/>
              <w:left w:val="nil"/>
              <w:bottom w:val="single" w:sz="4" w:space="0" w:color="auto"/>
              <w:right w:val="single" w:sz="4" w:space="0" w:color="auto"/>
            </w:tcBorders>
            <w:shd w:val="clear" w:color="auto" w:fill="auto"/>
            <w:vAlign w:val="center"/>
            <w:hideMark/>
          </w:tcPr>
          <w:p w14:paraId="5EAB112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of disposal</w:t>
            </w:r>
          </w:p>
        </w:tc>
        <w:tc>
          <w:tcPr>
            <w:tcW w:w="406" w:type="pct"/>
            <w:tcBorders>
              <w:top w:val="nil"/>
              <w:left w:val="nil"/>
              <w:bottom w:val="single" w:sz="4" w:space="0" w:color="auto"/>
              <w:right w:val="single" w:sz="4" w:space="0" w:color="auto"/>
            </w:tcBorders>
            <w:shd w:val="clear" w:color="auto" w:fill="auto"/>
            <w:vAlign w:val="center"/>
            <w:hideMark/>
          </w:tcPr>
          <w:p w14:paraId="63BDEF7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089984F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048E1F6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r>
      <w:tr w:rsidR="00B67E02" w:rsidRPr="00B67E02" w14:paraId="3E425005" w14:textId="77777777" w:rsidTr="006120CE">
        <w:trPr>
          <w:trHeight w:val="406"/>
        </w:trPr>
        <w:tc>
          <w:tcPr>
            <w:tcW w:w="471" w:type="pct"/>
            <w:vMerge/>
            <w:tcBorders>
              <w:top w:val="nil"/>
              <w:left w:val="single" w:sz="8" w:space="0" w:color="auto"/>
              <w:bottom w:val="single" w:sz="8" w:space="0" w:color="000000"/>
              <w:right w:val="single" w:sz="4" w:space="0" w:color="auto"/>
            </w:tcBorders>
            <w:vAlign w:val="center"/>
            <w:hideMark/>
          </w:tcPr>
          <w:p w14:paraId="368A4283"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single" w:sz="4" w:space="0" w:color="auto"/>
              <w:right w:val="single" w:sz="4" w:space="0" w:color="auto"/>
            </w:tcBorders>
            <w:shd w:val="clear" w:color="auto" w:fill="auto"/>
            <w:vAlign w:val="center"/>
            <w:hideMark/>
          </w:tcPr>
          <w:p w14:paraId="7126614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Green Economy Projects implemented in each Governorate</w:t>
            </w:r>
          </w:p>
        </w:tc>
        <w:tc>
          <w:tcPr>
            <w:tcW w:w="864" w:type="pct"/>
            <w:tcBorders>
              <w:top w:val="nil"/>
              <w:left w:val="nil"/>
              <w:bottom w:val="single" w:sz="4" w:space="0" w:color="auto"/>
              <w:right w:val="single" w:sz="4" w:space="0" w:color="auto"/>
            </w:tcBorders>
            <w:shd w:val="clear" w:color="auto" w:fill="auto"/>
            <w:vAlign w:val="center"/>
            <w:hideMark/>
          </w:tcPr>
          <w:p w14:paraId="686E916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JORISS</w:t>
            </w:r>
          </w:p>
        </w:tc>
        <w:tc>
          <w:tcPr>
            <w:tcW w:w="558" w:type="pct"/>
            <w:tcBorders>
              <w:top w:val="nil"/>
              <w:left w:val="nil"/>
              <w:bottom w:val="single" w:sz="4" w:space="0" w:color="auto"/>
              <w:right w:val="single" w:sz="4" w:space="0" w:color="auto"/>
            </w:tcBorders>
            <w:shd w:val="clear" w:color="000000" w:fill="FFFFFF"/>
            <w:vAlign w:val="center"/>
            <w:hideMark/>
          </w:tcPr>
          <w:p w14:paraId="74CDB1B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UNEP, UNDP</w:t>
            </w:r>
          </w:p>
        </w:tc>
        <w:tc>
          <w:tcPr>
            <w:tcW w:w="760" w:type="pct"/>
            <w:tcBorders>
              <w:top w:val="nil"/>
              <w:left w:val="nil"/>
              <w:bottom w:val="single" w:sz="4" w:space="0" w:color="auto"/>
              <w:right w:val="single" w:sz="4" w:space="0" w:color="auto"/>
            </w:tcBorders>
            <w:shd w:val="clear" w:color="auto" w:fill="auto"/>
            <w:vAlign w:val="center"/>
            <w:hideMark/>
          </w:tcPr>
          <w:p w14:paraId="1228101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JORISS</w:t>
            </w:r>
          </w:p>
        </w:tc>
        <w:tc>
          <w:tcPr>
            <w:tcW w:w="406" w:type="pct"/>
            <w:tcBorders>
              <w:top w:val="nil"/>
              <w:left w:val="nil"/>
              <w:bottom w:val="single" w:sz="4" w:space="0" w:color="auto"/>
              <w:right w:val="single" w:sz="4" w:space="0" w:color="auto"/>
            </w:tcBorders>
            <w:shd w:val="clear" w:color="auto" w:fill="auto"/>
            <w:vAlign w:val="center"/>
            <w:hideMark/>
          </w:tcPr>
          <w:p w14:paraId="25FD8B2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0ACF763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53F6CDC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r>
      <w:tr w:rsidR="00B67E02" w:rsidRPr="00B67E02" w14:paraId="4E3F0D98" w14:textId="77777777" w:rsidTr="006120CE">
        <w:trPr>
          <w:trHeight w:val="973"/>
        </w:trPr>
        <w:tc>
          <w:tcPr>
            <w:tcW w:w="471" w:type="pct"/>
            <w:vMerge/>
            <w:tcBorders>
              <w:top w:val="nil"/>
              <w:left w:val="single" w:sz="8" w:space="0" w:color="auto"/>
              <w:bottom w:val="single" w:sz="8" w:space="0" w:color="000000"/>
              <w:right w:val="single" w:sz="4" w:space="0" w:color="auto"/>
            </w:tcBorders>
            <w:vAlign w:val="center"/>
            <w:hideMark/>
          </w:tcPr>
          <w:p w14:paraId="1104B725"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nil"/>
              <w:bottom w:val="nil"/>
              <w:right w:val="single" w:sz="4" w:space="0" w:color="auto"/>
            </w:tcBorders>
            <w:shd w:val="clear" w:color="auto" w:fill="auto"/>
            <w:vAlign w:val="center"/>
            <w:hideMark/>
          </w:tcPr>
          <w:p w14:paraId="7CF2CC6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HH directly benefitting from promotion of sustainable water solutions projects</w:t>
            </w:r>
          </w:p>
        </w:tc>
        <w:tc>
          <w:tcPr>
            <w:tcW w:w="864" w:type="pct"/>
            <w:tcBorders>
              <w:top w:val="nil"/>
              <w:left w:val="nil"/>
              <w:bottom w:val="nil"/>
              <w:right w:val="single" w:sz="4" w:space="0" w:color="auto"/>
            </w:tcBorders>
            <w:shd w:val="clear" w:color="auto" w:fill="auto"/>
            <w:vAlign w:val="center"/>
            <w:hideMark/>
          </w:tcPr>
          <w:p w14:paraId="09993E1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nil"/>
              <w:right w:val="single" w:sz="4" w:space="0" w:color="auto"/>
            </w:tcBorders>
            <w:shd w:val="clear" w:color="000000" w:fill="FFFFFF"/>
            <w:vAlign w:val="center"/>
            <w:hideMark/>
          </w:tcPr>
          <w:p w14:paraId="56F0307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UNDP</w:t>
            </w:r>
          </w:p>
        </w:tc>
        <w:tc>
          <w:tcPr>
            <w:tcW w:w="760" w:type="pct"/>
            <w:tcBorders>
              <w:top w:val="nil"/>
              <w:left w:val="nil"/>
              <w:bottom w:val="nil"/>
              <w:right w:val="single" w:sz="4" w:space="0" w:color="auto"/>
            </w:tcBorders>
            <w:shd w:val="clear" w:color="auto" w:fill="auto"/>
            <w:vAlign w:val="center"/>
            <w:hideMark/>
          </w:tcPr>
          <w:p w14:paraId="577FB72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Project reports</w:t>
            </w:r>
          </w:p>
        </w:tc>
        <w:tc>
          <w:tcPr>
            <w:tcW w:w="406" w:type="pct"/>
            <w:tcBorders>
              <w:top w:val="nil"/>
              <w:left w:val="nil"/>
              <w:bottom w:val="single" w:sz="4" w:space="0" w:color="auto"/>
              <w:right w:val="single" w:sz="4" w:space="0" w:color="auto"/>
            </w:tcBorders>
            <w:shd w:val="clear" w:color="auto" w:fill="auto"/>
            <w:vAlign w:val="center"/>
            <w:hideMark/>
          </w:tcPr>
          <w:p w14:paraId="59A1DA9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314B85A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nil"/>
              <w:right w:val="single" w:sz="8" w:space="0" w:color="auto"/>
            </w:tcBorders>
            <w:shd w:val="clear" w:color="auto" w:fill="auto"/>
            <w:vAlign w:val="center"/>
            <w:hideMark/>
          </w:tcPr>
          <w:p w14:paraId="39535DB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r>
      <w:tr w:rsidR="00B67E02" w:rsidRPr="00B67E02" w14:paraId="4BAE63B0" w14:textId="77777777" w:rsidTr="006120CE">
        <w:trPr>
          <w:trHeight w:val="2115"/>
        </w:trPr>
        <w:tc>
          <w:tcPr>
            <w:tcW w:w="471" w:type="pct"/>
            <w:vMerge/>
            <w:tcBorders>
              <w:top w:val="nil"/>
              <w:left w:val="single" w:sz="8" w:space="0" w:color="auto"/>
              <w:bottom w:val="single" w:sz="8" w:space="0" w:color="000000"/>
              <w:right w:val="single" w:sz="4" w:space="0" w:color="auto"/>
            </w:tcBorders>
            <w:vAlign w:val="center"/>
            <w:hideMark/>
          </w:tcPr>
          <w:p w14:paraId="63F9716F" w14:textId="77777777" w:rsidR="00B67E02" w:rsidRPr="00B67E02" w:rsidRDefault="00B67E02" w:rsidP="00B67E02">
            <w:pPr>
              <w:spacing w:before="0" w:after="0"/>
              <w:rPr>
                <w:rFonts w:eastAsia="Times New Roman"/>
                <w:b/>
                <w:bCs/>
                <w:color w:val="FFFFFF"/>
                <w:lang w:eastAsia="en-GB"/>
              </w:rPr>
            </w:pPr>
          </w:p>
        </w:tc>
        <w:tc>
          <w:tcPr>
            <w:tcW w:w="891" w:type="pct"/>
            <w:tcBorders>
              <w:top w:val="single" w:sz="4" w:space="0" w:color="auto"/>
              <w:left w:val="nil"/>
              <w:bottom w:val="single" w:sz="8" w:space="0" w:color="auto"/>
              <w:right w:val="single" w:sz="4" w:space="0" w:color="auto"/>
            </w:tcBorders>
            <w:shd w:val="clear" w:color="auto" w:fill="auto"/>
            <w:vAlign w:val="center"/>
            <w:hideMark/>
          </w:tcPr>
          <w:p w14:paraId="73819AC5"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Hectares of land preserved through planting of trees in collaboration with MoA</w:t>
            </w:r>
          </w:p>
        </w:tc>
        <w:tc>
          <w:tcPr>
            <w:tcW w:w="864" w:type="pct"/>
            <w:tcBorders>
              <w:top w:val="single" w:sz="4" w:space="0" w:color="auto"/>
              <w:left w:val="nil"/>
              <w:bottom w:val="single" w:sz="8" w:space="0" w:color="auto"/>
              <w:right w:val="single" w:sz="4" w:space="0" w:color="auto"/>
            </w:tcBorders>
            <w:shd w:val="clear" w:color="auto" w:fill="auto"/>
            <w:vAlign w:val="center"/>
            <w:hideMark/>
          </w:tcPr>
          <w:p w14:paraId="4E1B638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Government and agency data</w:t>
            </w:r>
          </w:p>
        </w:tc>
        <w:tc>
          <w:tcPr>
            <w:tcW w:w="558" w:type="pct"/>
            <w:tcBorders>
              <w:top w:val="single" w:sz="4" w:space="0" w:color="auto"/>
              <w:left w:val="nil"/>
              <w:bottom w:val="single" w:sz="8" w:space="0" w:color="auto"/>
              <w:right w:val="single" w:sz="4" w:space="0" w:color="auto"/>
            </w:tcBorders>
            <w:shd w:val="clear" w:color="000000" w:fill="FFFFFF"/>
            <w:vAlign w:val="center"/>
            <w:hideMark/>
          </w:tcPr>
          <w:p w14:paraId="0BC6753C"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WFP</w:t>
            </w:r>
          </w:p>
        </w:tc>
        <w:tc>
          <w:tcPr>
            <w:tcW w:w="760" w:type="pct"/>
            <w:tcBorders>
              <w:top w:val="single" w:sz="4" w:space="0" w:color="auto"/>
              <w:left w:val="nil"/>
              <w:bottom w:val="single" w:sz="8" w:space="0" w:color="auto"/>
              <w:right w:val="single" w:sz="4" w:space="0" w:color="auto"/>
            </w:tcBorders>
            <w:shd w:val="clear" w:color="auto" w:fill="auto"/>
            <w:vAlign w:val="center"/>
            <w:hideMark/>
          </w:tcPr>
          <w:p w14:paraId="578C38F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MoA  records</w:t>
            </w:r>
          </w:p>
        </w:tc>
        <w:tc>
          <w:tcPr>
            <w:tcW w:w="406" w:type="pct"/>
            <w:tcBorders>
              <w:top w:val="nil"/>
              <w:left w:val="nil"/>
              <w:bottom w:val="single" w:sz="8" w:space="0" w:color="auto"/>
              <w:right w:val="single" w:sz="4" w:space="0" w:color="auto"/>
            </w:tcBorders>
            <w:shd w:val="clear" w:color="auto" w:fill="auto"/>
            <w:vAlign w:val="center"/>
            <w:hideMark/>
          </w:tcPr>
          <w:p w14:paraId="39714D98"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Monthly and quarterly</w:t>
            </w:r>
          </w:p>
        </w:tc>
        <w:tc>
          <w:tcPr>
            <w:tcW w:w="456" w:type="pct"/>
            <w:tcBorders>
              <w:top w:val="nil"/>
              <w:left w:val="nil"/>
              <w:bottom w:val="single" w:sz="8" w:space="0" w:color="auto"/>
              <w:right w:val="single" w:sz="4" w:space="0" w:color="auto"/>
            </w:tcBorders>
            <w:shd w:val="clear" w:color="auto" w:fill="auto"/>
            <w:vAlign w:val="center"/>
            <w:hideMark/>
          </w:tcPr>
          <w:p w14:paraId="4ABA841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single" w:sz="4" w:space="0" w:color="auto"/>
              <w:left w:val="nil"/>
              <w:bottom w:val="single" w:sz="8" w:space="0" w:color="auto"/>
              <w:right w:val="single" w:sz="8" w:space="0" w:color="auto"/>
            </w:tcBorders>
            <w:shd w:val="clear" w:color="auto" w:fill="auto"/>
            <w:vAlign w:val="center"/>
            <w:hideMark/>
          </w:tcPr>
          <w:p w14:paraId="706AC90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Type  of land and coverage</w:t>
            </w:r>
          </w:p>
        </w:tc>
      </w:tr>
      <w:tr w:rsidR="00B67E02" w:rsidRPr="00B67E02" w14:paraId="41417305" w14:textId="77777777" w:rsidTr="006120CE">
        <w:trPr>
          <w:trHeight w:val="828"/>
        </w:trPr>
        <w:tc>
          <w:tcPr>
            <w:tcW w:w="471" w:type="pct"/>
            <w:vMerge w:val="restart"/>
            <w:tcBorders>
              <w:top w:val="nil"/>
              <w:left w:val="single" w:sz="8" w:space="0" w:color="auto"/>
              <w:bottom w:val="single" w:sz="8" w:space="0" w:color="000000"/>
              <w:right w:val="nil"/>
            </w:tcBorders>
            <w:shd w:val="clear" w:color="000000" w:fill="EE5859"/>
            <w:vAlign w:val="center"/>
            <w:hideMark/>
          </w:tcPr>
          <w:p w14:paraId="7C332A7B" w14:textId="77777777" w:rsidR="00B67E02" w:rsidRPr="00B67E02" w:rsidRDefault="00B67E02" w:rsidP="00B67E02">
            <w:pPr>
              <w:spacing w:before="0" w:after="0"/>
              <w:jc w:val="center"/>
              <w:rPr>
                <w:rFonts w:eastAsia="Times New Roman"/>
                <w:b/>
                <w:bCs/>
                <w:color w:val="FFFFFF"/>
                <w:lang w:eastAsia="en-GB"/>
              </w:rPr>
            </w:pPr>
            <w:r w:rsidRPr="00B67E02">
              <w:rPr>
                <w:rFonts w:eastAsia="Times New Roman"/>
                <w:b/>
                <w:bCs/>
                <w:color w:val="FFFFFF"/>
                <w:lang w:eastAsia="en-GB"/>
              </w:rPr>
              <w:t>Outcome 6 – Refugee response</w:t>
            </w:r>
          </w:p>
        </w:tc>
        <w:tc>
          <w:tcPr>
            <w:tcW w:w="891" w:type="pct"/>
            <w:tcBorders>
              <w:top w:val="nil"/>
              <w:left w:val="single" w:sz="4" w:space="0" w:color="auto"/>
              <w:bottom w:val="single" w:sz="4" w:space="0" w:color="auto"/>
              <w:right w:val="single" w:sz="4" w:space="0" w:color="auto"/>
            </w:tcBorders>
            <w:shd w:val="clear" w:color="auto" w:fill="auto"/>
            <w:vAlign w:val="center"/>
            <w:hideMark/>
          </w:tcPr>
          <w:p w14:paraId="51F19ED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5-17 y/o children enrolled in informal and non-formal education</w:t>
            </w:r>
          </w:p>
        </w:tc>
        <w:tc>
          <w:tcPr>
            <w:tcW w:w="864" w:type="pct"/>
            <w:tcBorders>
              <w:top w:val="nil"/>
              <w:left w:val="nil"/>
              <w:bottom w:val="single" w:sz="4" w:space="0" w:color="auto"/>
              <w:right w:val="single" w:sz="4" w:space="0" w:color="auto"/>
            </w:tcBorders>
            <w:shd w:val="clear" w:color="auto" w:fill="auto"/>
            <w:vAlign w:val="center"/>
            <w:hideMark/>
          </w:tcPr>
          <w:p w14:paraId="3D67057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Activity Info</w:t>
            </w:r>
          </w:p>
        </w:tc>
        <w:tc>
          <w:tcPr>
            <w:tcW w:w="558" w:type="pct"/>
            <w:tcBorders>
              <w:top w:val="nil"/>
              <w:left w:val="nil"/>
              <w:bottom w:val="single" w:sz="4" w:space="0" w:color="auto"/>
              <w:right w:val="single" w:sz="4" w:space="0" w:color="auto"/>
            </w:tcBorders>
            <w:shd w:val="clear" w:color="000000" w:fill="FFFFFF"/>
            <w:vAlign w:val="center"/>
            <w:hideMark/>
          </w:tcPr>
          <w:p w14:paraId="3449163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UNICEF, UNESCO for some types</w:t>
            </w:r>
          </w:p>
        </w:tc>
        <w:tc>
          <w:tcPr>
            <w:tcW w:w="760" w:type="pct"/>
            <w:tcBorders>
              <w:top w:val="nil"/>
              <w:left w:val="nil"/>
              <w:bottom w:val="single" w:sz="4" w:space="0" w:color="auto"/>
              <w:right w:val="single" w:sz="4" w:space="0" w:color="auto"/>
            </w:tcBorders>
            <w:shd w:val="clear" w:color="auto" w:fill="auto"/>
            <w:vAlign w:val="center"/>
            <w:hideMark/>
          </w:tcPr>
          <w:p w14:paraId="72E55AF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Education Management Informmation System, data collected by UNICEF</w:t>
            </w:r>
          </w:p>
        </w:tc>
        <w:tc>
          <w:tcPr>
            <w:tcW w:w="406" w:type="pct"/>
            <w:tcBorders>
              <w:top w:val="nil"/>
              <w:left w:val="nil"/>
              <w:bottom w:val="single" w:sz="4" w:space="0" w:color="auto"/>
              <w:right w:val="single" w:sz="4" w:space="0" w:color="auto"/>
            </w:tcBorders>
            <w:shd w:val="clear" w:color="auto" w:fill="auto"/>
            <w:vAlign w:val="center"/>
            <w:hideMark/>
          </w:tcPr>
          <w:p w14:paraId="63DEED7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7A4A1D7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08585F0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4DC9BE61" w14:textId="77777777" w:rsidTr="006120CE">
        <w:trPr>
          <w:trHeight w:val="942"/>
        </w:trPr>
        <w:tc>
          <w:tcPr>
            <w:tcW w:w="471" w:type="pct"/>
            <w:vMerge/>
            <w:tcBorders>
              <w:top w:val="nil"/>
              <w:left w:val="single" w:sz="8" w:space="0" w:color="auto"/>
              <w:bottom w:val="single" w:sz="8" w:space="0" w:color="000000"/>
              <w:right w:val="nil"/>
            </w:tcBorders>
            <w:vAlign w:val="center"/>
            <w:hideMark/>
          </w:tcPr>
          <w:p w14:paraId="06E64F80"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4" w:space="0" w:color="auto"/>
              <w:bottom w:val="single" w:sz="4" w:space="0" w:color="auto"/>
              <w:right w:val="single" w:sz="4" w:space="0" w:color="auto"/>
            </w:tcBorders>
            <w:shd w:val="clear" w:color="auto" w:fill="auto"/>
            <w:vAlign w:val="center"/>
            <w:hideMark/>
          </w:tcPr>
          <w:p w14:paraId="4C849C5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5-17 y/o children enrolled in formal education (camps and host communities)</w:t>
            </w:r>
          </w:p>
        </w:tc>
        <w:tc>
          <w:tcPr>
            <w:tcW w:w="864" w:type="pct"/>
            <w:tcBorders>
              <w:top w:val="nil"/>
              <w:left w:val="nil"/>
              <w:bottom w:val="single" w:sz="4" w:space="0" w:color="auto"/>
              <w:right w:val="single" w:sz="4" w:space="0" w:color="auto"/>
            </w:tcBorders>
            <w:shd w:val="clear" w:color="auto" w:fill="auto"/>
            <w:vAlign w:val="center"/>
            <w:hideMark/>
          </w:tcPr>
          <w:p w14:paraId="166DBFD2"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Activity Info</w:t>
            </w:r>
          </w:p>
        </w:tc>
        <w:tc>
          <w:tcPr>
            <w:tcW w:w="558" w:type="pct"/>
            <w:tcBorders>
              <w:top w:val="nil"/>
              <w:left w:val="nil"/>
              <w:bottom w:val="single" w:sz="4" w:space="0" w:color="auto"/>
              <w:right w:val="single" w:sz="4" w:space="0" w:color="auto"/>
            </w:tcBorders>
            <w:shd w:val="clear" w:color="000000" w:fill="FFFFFF"/>
            <w:vAlign w:val="center"/>
            <w:hideMark/>
          </w:tcPr>
          <w:p w14:paraId="0B64A07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UNESCO, UNICEF</w:t>
            </w:r>
          </w:p>
        </w:tc>
        <w:tc>
          <w:tcPr>
            <w:tcW w:w="760" w:type="pct"/>
            <w:tcBorders>
              <w:top w:val="nil"/>
              <w:left w:val="nil"/>
              <w:bottom w:val="single" w:sz="4" w:space="0" w:color="auto"/>
              <w:right w:val="single" w:sz="4" w:space="0" w:color="auto"/>
            </w:tcBorders>
            <w:shd w:val="clear" w:color="auto" w:fill="auto"/>
            <w:vAlign w:val="center"/>
            <w:hideMark/>
          </w:tcPr>
          <w:p w14:paraId="2E6C285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Education Management Informmation System, data collected by UNICEF</w:t>
            </w:r>
          </w:p>
        </w:tc>
        <w:tc>
          <w:tcPr>
            <w:tcW w:w="406" w:type="pct"/>
            <w:tcBorders>
              <w:top w:val="nil"/>
              <w:left w:val="nil"/>
              <w:bottom w:val="single" w:sz="4" w:space="0" w:color="auto"/>
              <w:right w:val="single" w:sz="4" w:space="0" w:color="auto"/>
            </w:tcBorders>
            <w:shd w:val="clear" w:color="auto" w:fill="auto"/>
            <w:vAlign w:val="center"/>
            <w:hideMark/>
          </w:tcPr>
          <w:p w14:paraId="0654F6F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Annually</w:t>
            </w:r>
          </w:p>
        </w:tc>
        <w:tc>
          <w:tcPr>
            <w:tcW w:w="456" w:type="pct"/>
            <w:tcBorders>
              <w:top w:val="nil"/>
              <w:left w:val="nil"/>
              <w:bottom w:val="single" w:sz="4" w:space="0" w:color="auto"/>
              <w:right w:val="single" w:sz="4" w:space="0" w:color="auto"/>
            </w:tcBorders>
            <w:shd w:val="clear" w:color="auto" w:fill="auto"/>
            <w:vAlign w:val="center"/>
            <w:hideMark/>
          </w:tcPr>
          <w:p w14:paraId="0493154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19A443CD"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1DDBFB80" w14:textId="77777777" w:rsidTr="006120CE">
        <w:trPr>
          <w:trHeight w:val="617"/>
        </w:trPr>
        <w:tc>
          <w:tcPr>
            <w:tcW w:w="471" w:type="pct"/>
            <w:vMerge/>
            <w:tcBorders>
              <w:top w:val="nil"/>
              <w:left w:val="single" w:sz="8" w:space="0" w:color="auto"/>
              <w:bottom w:val="single" w:sz="8" w:space="0" w:color="000000"/>
              <w:right w:val="nil"/>
            </w:tcBorders>
            <w:vAlign w:val="center"/>
            <w:hideMark/>
          </w:tcPr>
          <w:p w14:paraId="4F995DD6"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4" w:space="0" w:color="auto"/>
              <w:bottom w:val="single" w:sz="4" w:space="0" w:color="auto"/>
              <w:right w:val="single" w:sz="4" w:space="0" w:color="auto"/>
            </w:tcBorders>
            <w:shd w:val="clear" w:color="auto" w:fill="auto"/>
            <w:vAlign w:val="center"/>
            <w:hideMark/>
          </w:tcPr>
          <w:p w14:paraId="49B1C95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Food Consumption Score, disaggregated by sex of HH head</w:t>
            </w:r>
          </w:p>
        </w:tc>
        <w:tc>
          <w:tcPr>
            <w:tcW w:w="864" w:type="pct"/>
            <w:tcBorders>
              <w:top w:val="nil"/>
              <w:left w:val="nil"/>
              <w:bottom w:val="single" w:sz="4" w:space="0" w:color="auto"/>
              <w:right w:val="single" w:sz="4" w:space="0" w:color="auto"/>
            </w:tcBorders>
            <w:shd w:val="clear" w:color="auto" w:fill="auto"/>
            <w:vAlign w:val="center"/>
            <w:hideMark/>
          </w:tcPr>
          <w:p w14:paraId="4485C5F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single" w:sz="4" w:space="0" w:color="auto"/>
              <w:right w:val="single" w:sz="4" w:space="0" w:color="auto"/>
            </w:tcBorders>
            <w:shd w:val="clear" w:color="000000" w:fill="FFFFFF"/>
            <w:vAlign w:val="center"/>
            <w:hideMark/>
          </w:tcPr>
          <w:p w14:paraId="5B08EA9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WFP, IOM</w:t>
            </w:r>
          </w:p>
        </w:tc>
        <w:tc>
          <w:tcPr>
            <w:tcW w:w="760" w:type="pct"/>
            <w:tcBorders>
              <w:top w:val="nil"/>
              <w:left w:val="nil"/>
              <w:bottom w:val="single" w:sz="4" w:space="0" w:color="auto"/>
              <w:right w:val="single" w:sz="4" w:space="0" w:color="auto"/>
            </w:tcBorders>
            <w:shd w:val="clear" w:color="auto" w:fill="auto"/>
            <w:vAlign w:val="center"/>
            <w:hideMark/>
          </w:tcPr>
          <w:p w14:paraId="001BF2A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from food distributions, CFSME</w:t>
            </w:r>
          </w:p>
        </w:tc>
        <w:tc>
          <w:tcPr>
            <w:tcW w:w="406" w:type="pct"/>
            <w:tcBorders>
              <w:top w:val="nil"/>
              <w:left w:val="nil"/>
              <w:bottom w:val="single" w:sz="4" w:space="0" w:color="auto"/>
              <w:right w:val="single" w:sz="4" w:space="0" w:color="auto"/>
            </w:tcBorders>
            <w:shd w:val="clear" w:color="auto" w:fill="auto"/>
            <w:vAlign w:val="center"/>
            <w:hideMark/>
          </w:tcPr>
          <w:p w14:paraId="4B39B88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single" w:sz="4" w:space="0" w:color="auto"/>
              <w:right w:val="single" w:sz="4" w:space="0" w:color="auto"/>
            </w:tcBorders>
            <w:shd w:val="clear" w:color="auto" w:fill="auto"/>
            <w:vAlign w:val="center"/>
            <w:hideMark/>
          </w:tcPr>
          <w:p w14:paraId="0069F40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single" w:sz="4" w:space="0" w:color="auto"/>
              <w:right w:val="single" w:sz="8" w:space="0" w:color="auto"/>
            </w:tcBorders>
            <w:shd w:val="clear" w:color="auto" w:fill="auto"/>
            <w:vAlign w:val="center"/>
            <w:hideMark/>
          </w:tcPr>
          <w:p w14:paraId="7BC3B3F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40500284" w14:textId="77777777" w:rsidTr="006120CE">
        <w:trPr>
          <w:trHeight w:val="826"/>
        </w:trPr>
        <w:tc>
          <w:tcPr>
            <w:tcW w:w="471" w:type="pct"/>
            <w:vMerge/>
            <w:tcBorders>
              <w:top w:val="nil"/>
              <w:left w:val="single" w:sz="8" w:space="0" w:color="auto"/>
              <w:bottom w:val="single" w:sz="8" w:space="0" w:color="000000"/>
              <w:right w:val="nil"/>
            </w:tcBorders>
            <w:vAlign w:val="center"/>
            <w:hideMark/>
          </w:tcPr>
          <w:p w14:paraId="1B4C2D9A" w14:textId="77777777" w:rsidR="00B67E02" w:rsidRPr="00B67E02" w:rsidRDefault="00B67E02" w:rsidP="00B67E02">
            <w:pPr>
              <w:spacing w:before="0" w:after="0"/>
              <w:rPr>
                <w:rFonts w:eastAsia="Times New Roman"/>
                <w:b/>
                <w:bCs/>
                <w:color w:val="FFFFFF"/>
                <w:lang w:eastAsia="en-GB"/>
              </w:rPr>
            </w:pPr>
          </w:p>
        </w:tc>
        <w:tc>
          <w:tcPr>
            <w:tcW w:w="891" w:type="pct"/>
            <w:tcBorders>
              <w:top w:val="nil"/>
              <w:left w:val="single" w:sz="4" w:space="0" w:color="auto"/>
              <w:bottom w:val="nil"/>
              <w:right w:val="single" w:sz="4" w:space="0" w:color="auto"/>
            </w:tcBorders>
            <w:shd w:val="clear" w:color="auto" w:fill="auto"/>
            <w:vAlign w:val="center"/>
            <w:hideMark/>
          </w:tcPr>
          <w:p w14:paraId="547E2717"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functional referral systems in host communities and camps</w:t>
            </w:r>
          </w:p>
        </w:tc>
        <w:tc>
          <w:tcPr>
            <w:tcW w:w="864" w:type="pct"/>
            <w:tcBorders>
              <w:top w:val="nil"/>
              <w:left w:val="nil"/>
              <w:bottom w:val="nil"/>
              <w:right w:val="single" w:sz="4" w:space="0" w:color="auto"/>
            </w:tcBorders>
            <w:shd w:val="clear" w:color="auto" w:fill="auto"/>
            <w:vAlign w:val="center"/>
            <w:hideMark/>
          </w:tcPr>
          <w:p w14:paraId="06AE756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nil"/>
              <w:left w:val="nil"/>
              <w:bottom w:val="nil"/>
              <w:right w:val="single" w:sz="4" w:space="0" w:color="auto"/>
            </w:tcBorders>
            <w:shd w:val="clear" w:color="000000" w:fill="FFFFFF"/>
            <w:vAlign w:val="center"/>
            <w:hideMark/>
          </w:tcPr>
          <w:p w14:paraId="6DDA8DF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UNHCR</w:t>
            </w:r>
          </w:p>
        </w:tc>
        <w:tc>
          <w:tcPr>
            <w:tcW w:w="760" w:type="pct"/>
            <w:tcBorders>
              <w:top w:val="nil"/>
              <w:left w:val="nil"/>
              <w:bottom w:val="nil"/>
              <w:right w:val="single" w:sz="4" w:space="0" w:color="auto"/>
            </w:tcBorders>
            <w:shd w:val="clear" w:color="auto" w:fill="auto"/>
            <w:vAlign w:val="center"/>
            <w:hideMark/>
          </w:tcPr>
          <w:p w14:paraId="74841FC1"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Records of referral systems</w:t>
            </w:r>
          </w:p>
        </w:tc>
        <w:tc>
          <w:tcPr>
            <w:tcW w:w="406" w:type="pct"/>
            <w:tcBorders>
              <w:top w:val="nil"/>
              <w:left w:val="nil"/>
              <w:bottom w:val="nil"/>
              <w:right w:val="single" w:sz="4" w:space="0" w:color="auto"/>
            </w:tcBorders>
            <w:shd w:val="clear" w:color="auto" w:fill="auto"/>
            <w:vAlign w:val="center"/>
            <w:hideMark/>
          </w:tcPr>
          <w:p w14:paraId="0BC31AC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nil"/>
              <w:left w:val="nil"/>
              <w:bottom w:val="nil"/>
              <w:right w:val="single" w:sz="4" w:space="0" w:color="auto"/>
            </w:tcBorders>
            <w:shd w:val="clear" w:color="auto" w:fill="auto"/>
            <w:vAlign w:val="center"/>
            <w:hideMark/>
          </w:tcPr>
          <w:p w14:paraId="56E76B9B"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nil"/>
              <w:left w:val="nil"/>
              <w:bottom w:val="nil"/>
              <w:right w:val="single" w:sz="8" w:space="0" w:color="auto"/>
            </w:tcBorders>
            <w:shd w:val="clear" w:color="auto" w:fill="auto"/>
            <w:vAlign w:val="center"/>
            <w:hideMark/>
          </w:tcPr>
          <w:p w14:paraId="07180A4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N/A</w:t>
            </w:r>
          </w:p>
        </w:tc>
      </w:tr>
      <w:tr w:rsidR="00B67E02" w:rsidRPr="00B67E02" w14:paraId="4913F036" w14:textId="77777777" w:rsidTr="006120CE">
        <w:trPr>
          <w:trHeight w:val="697"/>
        </w:trPr>
        <w:tc>
          <w:tcPr>
            <w:tcW w:w="471" w:type="pct"/>
            <w:vMerge/>
            <w:tcBorders>
              <w:top w:val="nil"/>
              <w:left w:val="single" w:sz="8" w:space="0" w:color="auto"/>
              <w:bottom w:val="single" w:sz="8" w:space="0" w:color="000000"/>
              <w:right w:val="nil"/>
            </w:tcBorders>
            <w:vAlign w:val="center"/>
            <w:hideMark/>
          </w:tcPr>
          <w:p w14:paraId="587D53EC" w14:textId="77777777" w:rsidR="00B67E02" w:rsidRPr="00B67E02" w:rsidRDefault="00B67E02" w:rsidP="00B67E02">
            <w:pPr>
              <w:spacing w:before="0" w:after="0"/>
              <w:rPr>
                <w:rFonts w:eastAsia="Times New Roman"/>
                <w:b/>
                <w:bCs/>
                <w:color w:val="FFFFFF"/>
                <w:lang w:eastAsia="en-GB"/>
              </w:rPr>
            </w:pPr>
          </w:p>
        </w:tc>
        <w:tc>
          <w:tcPr>
            <w:tcW w:w="891" w:type="pct"/>
            <w:tcBorders>
              <w:top w:val="single" w:sz="4" w:space="0" w:color="auto"/>
              <w:left w:val="single" w:sz="4" w:space="0" w:color="auto"/>
              <w:bottom w:val="nil"/>
              <w:right w:val="single" w:sz="4" w:space="0" w:color="auto"/>
            </w:tcBorders>
            <w:shd w:val="clear" w:color="auto" w:fill="auto"/>
            <w:vAlign w:val="center"/>
            <w:hideMark/>
          </w:tcPr>
          <w:p w14:paraId="5B0979F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protection cases that were reported through refugee hotline services that are receiving assistance</w:t>
            </w:r>
            <w:r w:rsidRPr="00B67E02">
              <w:rPr>
                <w:rFonts w:eastAsia="Times New Roman"/>
                <w:color w:val="000000"/>
                <w:lang w:eastAsia="en-GB"/>
              </w:rPr>
              <w:br/>
              <w:t xml:space="preserve"> </w:t>
            </w:r>
          </w:p>
        </w:tc>
        <w:tc>
          <w:tcPr>
            <w:tcW w:w="864" w:type="pct"/>
            <w:tcBorders>
              <w:top w:val="single" w:sz="4" w:space="0" w:color="auto"/>
              <w:left w:val="nil"/>
              <w:bottom w:val="nil"/>
              <w:right w:val="single" w:sz="4" w:space="0" w:color="auto"/>
            </w:tcBorders>
            <w:shd w:val="clear" w:color="auto" w:fill="auto"/>
            <w:vAlign w:val="center"/>
            <w:hideMark/>
          </w:tcPr>
          <w:p w14:paraId="159A0FB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single" w:sz="4" w:space="0" w:color="auto"/>
              <w:left w:val="nil"/>
              <w:bottom w:val="nil"/>
              <w:right w:val="single" w:sz="4" w:space="0" w:color="auto"/>
            </w:tcBorders>
            <w:shd w:val="clear" w:color="000000" w:fill="FFFFFF"/>
            <w:vAlign w:val="center"/>
            <w:hideMark/>
          </w:tcPr>
          <w:p w14:paraId="525AB94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UNHCR</w:t>
            </w:r>
          </w:p>
        </w:tc>
        <w:tc>
          <w:tcPr>
            <w:tcW w:w="760" w:type="pct"/>
            <w:tcBorders>
              <w:top w:val="single" w:sz="4" w:space="0" w:color="auto"/>
              <w:left w:val="nil"/>
              <w:bottom w:val="nil"/>
              <w:right w:val="single" w:sz="4" w:space="0" w:color="auto"/>
            </w:tcBorders>
            <w:shd w:val="clear" w:color="auto" w:fill="auto"/>
            <w:vAlign w:val="center"/>
            <w:hideMark/>
          </w:tcPr>
          <w:p w14:paraId="7D8296A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Helpline dashboard</w:t>
            </w:r>
          </w:p>
        </w:tc>
        <w:tc>
          <w:tcPr>
            <w:tcW w:w="406" w:type="pct"/>
            <w:tcBorders>
              <w:top w:val="single" w:sz="4" w:space="0" w:color="auto"/>
              <w:left w:val="nil"/>
              <w:bottom w:val="nil"/>
              <w:right w:val="single" w:sz="4" w:space="0" w:color="auto"/>
            </w:tcBorders>
            <w:shd w:val="clear" w:color="auto" w:fill="auto"/>
            <w:vAlign w:val="center"/>
            <w:hideMark/>
          </w:tcPr>
          <w:p w14:paraId="15DB92C4"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single" w:sz="4" w:space="0" w:color="auto"/>
              <w:left w:val="nil"/>
              <w:bottom w:val="nil"/>
              <w:right w:val="single" w:sz="4" w:space="0" w:color="auto"/>
            </w:tcBorders>
            <w:shd w:val="clear" w:color="auto" w:fill="auto"/>
            <w:vAlign w:val="center"/>
            <w:hideMark/>
          </w:tcPr>
          <w:p w14:paraId="239A1EEE"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single" w:sz="4" w:space="0" w:color="auto"/>
              <w:left w:val="nil"/>
              <w:bottom w:val="nil"/>
              <w:right w:val="single" w:sz="8" w:space="0" w:color="auto"/>
            </w:tcBorders>
            <w:shd w:val="clear" w:color="auto" w:fill="auto"/>
            <w:vAlign w:val="center"/>
            <w:hideMark/>
          </w:tcPr>
          <w:p w14:paraId="6AA14D00"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r w:rsidR="00B67E02" w:rsidRPr="00B67E02" w14:paraId="1A0A0A05" w14:textId="77777777" w:rsidTr="006120CE">
        <w:trPr>
          <w:trHeight w:val="829"/>
        </w:trPr>
        <w:tc>
          <w:tcPr>
            <w:tcW w:w="471" w:type="pct"/>
            <w:vMerge/>
            <w:tcBorders>
              <w:top w:val="nil"/>
              <w:left w:val="single" w:sz="8" w:space="0" w:color="auto"/>
              <w:bottom w:val="single" w:sz="8" w:space="0" w:color="000000"/>
              <w:right w:val="nil"/>
            </w:tcBorders>
            <w:vAlign w:val="center"/>
            <w:hideMark/>
          </w:tcPr>
          <w:p w14:paraId="1CF32116" w14:textId="77777777" w:rsidR="00B67E02" w:rsidRPr="00B67E02" w:rsidRDefault="00B67E02" w:rsidP="00B67E02">
            <w:pPr>
              <w:spacing w:before="0" w:after="0"/>
              <w:rPr>
                <w:rFonts w:eastAsia="Times New Roman"/>
                <w:b/>
                <w:bCs/>
                <w:color w:val="FFFFFF"/>
                <w:lang w:eastAsia="en-GB"/>
              </w:rPr>
            </w:pPr>
          </w:p>
        </w:tc>
        <w:tc>
          <w:tcPr>
            <w:tcW w:w="891"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3648F7D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 of refugees employed in Cash for Work and through work permits</w:t>
            </w:r>
          </w:p>
        </w:tc>
        <w:tc>
          <w:tcPr>
            <w:tcW w:w="864" w:type="pct"/>
            <w:tcBorders>
              <w:top w:val="single" w:sz="4" w:space="0" w:color="auto"/>
              <w:left w:val="nil"/>
              <w:bottom w:val="single" w:sz="8" w:space="0" w:color="auto"/>
              <w:right w:val="single" w:sz="4" w:space="0" w:color="auto"/>
            </w:tcBorders>
            <w:shd w:val="clear" w:color="auto" w:fill="auto"/>
            <w:vAlign w:val="center"/>
            <w:hideMark/>
          </w:tcPr>
          <w:p w14:paraId="28582149"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Agency data</w:t>
            </w:r>
          </w:p>
        </w:tc>
        <w:tc>
          <w:tcPr>
            <w:tcW w:w="558" w:type="pct"/>
            <w:tcBorders>
              <w:top w:val="single" w:sz="4" w:space="0" w:color="auto"/>
              <w:left w:val="nil"/>
              <w:bottom w:val="single" w:sz="8" w:space="0" w:color="auto"/>
              <w:right w:val="single" w:sz="4" w:space="0" w:color="auto"/>
            </w:tcBorders>
            <w:shd w:val="clear" w:color="000000" w:fill="FFFFFF"/>
            <w:vAlign w:val="center"/>
            <w:hideMark/>
          </w:tcPr>
          <w:p w14:paraId="5801B9D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WFP, UNHCR, MoI, MoL, ILO</w:t>
            </w:r>
          </w:p>
        </w:tc>
        <w:tc>
          <w:tcPr>
            <w:tcW w:w="760" w:type="pct"/>
            <w:tcBorders>
              <w:top w:val="single" w:sz="4" w:space="0" w:color="auto"/>
              <w:left w:val="nil"/>
              <w:bottom w:val="single" w:sz="8" w:space="0" w:color="auto"/>
              <w:right w:val="single" w:sz="4" w:space="0" w:color="auto"/>
            </w:tcBorders>
            <w:shd w:val="clear" w:color="auto" w:fill="auto"/>
            <w:vAlign w:val="center"/>
            <w:hideMark/>
          </w:tcPr>
          <w:p w14:paraId="55447D5F"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Activity info, records of CfW, national level data</w:t>
            </w:r>
          </w:p>
        </w:tc>
        <w:tc>
          <w:tcPr>
            <w:tcW w:w="406" w:type="pct"/>
            <w:tcBorders>
              <w:top w:val="single" w:sz="4" w:space="0" w:color="auto"/>
              <w:left w:val="nil"/>
              <w:bottom w:val="single" w:sz="8" w:space="0" w:color="auto"/>
              <w:right w:val="single" w:sz="4" w:space="0" w:color="auto"/>
            </w:tcBorders>
            <w:shd w:val="clear" w:color="auto" w:fill="auto"/>
            <w:vAlign w:val="center"/>
            <w:hideMark/>
          </w:tcPr>
          <w:p w14:paraId="3F8A8BCA"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Quarterly</w:t>
            </w:r>
          </w:p>
        </w:tc>
        <w:tc>
          <w:tcPr>
            <w:tcW w:w="456" w:type="pct"/>
            <w:tcBorders>
              <w:top w:val="single" w:sz="4" w:space="0" w:color="auto"/>
              <w:left w:val="nil"/>
              <w:bottom w:val="single" w:sz="8" w:space="0" w:color="auto"/>
              <w:right w:val="single" w:sz="4" w:space="0" w:color="auto"/>
            </w:tcBorders>
            <w:shd w:val="clear" w:color="auto" w:fill="auto"/>
            <w:vAlign w:val="center"/>
            <w:hideMark/>
          </w:tcPr>
          <w:p w14:paraId="41219BE6"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Governorate</w:t>
            </w:r>
          </w:p>
        </w:tc>
        <w:tc>
          <w:tcPr>
            <w:tcW w:w="594" w:type="pct"/>
            <w:tcBorders>
              <w:top w:val="single" w:sz="4" w:space="0" w:color="auto"/>
              <w:left w:val="nil"/>
              <w:bottom w:val="single" w:sz="8" w:space="0" w:color="auto"/>
              <w:right w:val="single" w:sz="8" w:space="0" w:color="auto"/>
            </w:tcBorders>
            <w:shd w:val="clear" w:color="auto" w:fill="auto"/>
            <w:vAlign w:val="center"/>
            <w:hideMark/>
          </w:tcPr>
          <w:p w14:paraId="4166A663" w14:textId="77777777" w:rsidR="00B67E02" w:rsidRPr="00B67E02" w:rsidRDefault="00B67E02" w:rsidP="00B67E02">
            <w:pPr>
              <w:spacing w:before="0" w:after="0"/>
              <w:jc w:val="center"/>
              <w:rPr>
                <w:rFonts w:eastAsia="Times New Roman"/>
                <w:color w:val="000000"/>
                <w:lang w:eastAsia="en-GB"/>
              </w:rPr>
            </w:pPr>
            <w:r w:rsidRPr="00B67E02">
              <w:rPr>
                <w:rFonts w:eastAsia="Times New Roman"/>
                <w:color w:val="000000"/>
                <w:lang w:eastAsia="en-GB"/>
              </w:rPr>
              <w:t>SADD, governorate</w:t>
            </w:r>
          </w:p>
        </w:tc>
      </w:tr>
    </w:tbl>
    <w:p w14:paraId="2F68F635" w14:textId="77777777" w:rsidR="00B67E02" w:rsidRPr="00336DF5" w:rsidRDefault="00B67E02" w:rsidP="006120CE"/>
    <w:sectPr w:rsidR="00B67E02" w:rsidRPr="00336DF5" w:rsidSect="006120CE">
      <w:pgSz w:w="16840" w:h="11900" w:orient="landscape"/>
      <w:pgMar w:top="1080" w:right="993" w:bottom="1080" w:left="1843" w:header="720" w:footer="75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AA03C" w14:textId="77777777" w:rsidR="00342725" w:rsidRDefault="00342725" w:rsidP="00A2452D">
      <w:r>
        <w:separator/>
      </w:r>
    </w:p>
  </w:endnote>
  <w:endnote w:type="continuationSeparator" w:id="0">
    <w:p w14:paraId="04C315C5" w14:textId="77777777" w:rsidR="00342725" w:rsidRDefault="00342725" w:rsidP="00A24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FBA13" w14:textId="77777777" w:rsidR="007002E3" w:rsidRDefault="007002E3" w:rsidP="00872F74">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4B262F1" w14:textId="77777777" w:rsidR="007002E3" w:rsidRDefault="007002E3" w:rsidP="00872F74">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77DFD" w14:textId="77777777" w:rsidR="007002E3" w:rsidRDefault="00EB7829" w:rsidP="00872F74">
    <w:pPr>
      <w:pStyle w:val="Footer"/>
      <w:ind w:firstLine="360"/>
    </w:pPr>
    <w:r>
      <w:rPr>
        <w:noProof/>
        <w:lang w:eastAsia="en-GB"/>
      </w:rPr>
      <w:drawing>
        <wp:anchor distT="0" distB="0" distL="114300" distR="114300" simplePos="0" relativeHeight="251657216" behindDoc="1" locked="0" layoutInCell="1" allowOverlap="1" wp14:anchorId="5673AB00" wp14:editId="2E741085">
          <wp:simplePos x="0" y="0"/>
          <wp:positionH relativeFrom="column">
            <wp:posOffset>-904557</wp:posOffset>
          </wp:positionH>
          <wp:positionV relativeFrom="paragraph">
            <wp:posOffset>-231140</wp:posOffset>
          </wp:positionV>
          <wp:extent cx="7771765" cy="913765"/>
          <wp:effectExtent l="0" t="0" r="635" b="635"/>
          <wp:wrapNone/>
          <wp:docPr id="5"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2E3" w:rsidRPr="0049646E">
      <w:rPr>
        <w:noProof/>
        <w:lang w:eastAsia="en-GB"/>
      </w:rPr>
      <mc:AlternateContent>
        <mc:Choice Requires="wps">
          <w:drawing>
            <wp:anchor distT="0" distB="0" distL="114300" distR="114300" simplePos="0" relativeHeight="251652608" behindDoc="1" locked="0" layoutInCell="1" allowOverlap="1" wp14:anchorId="35AA78E9" wp14:editId="67ED5E21">
              <wp:simplePos x="0" y="0"/>
              <wp:positionH relativeFrom="column">
                <wp:posOffset>0</wp:posOffset>
              </wp:positionH>
              <wp:positionV relativeFrom="paragraph">
                <wp:posOffset>1270</wp:posOffset>
              </wp:positionV>
              <wp:extent cx="432435" cy="7597775"/>
              <wp:effectExtent l="0" t="1270" r="23495" b="23495"/>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2435" cy="7597775"/>
                      </a:xfrm>
                      <a:prstGeom prst="rect">
                        <a:avLst/>
                      </a:prstGeom>
                      <a:solidFill>
                        <a:srgbClr val="58585A"/>
                      </a:solidFill>
                      <a:ln w="9525">
                        <a:solidFill>
                          <a:srgbClr val="58585A"/>
                        </a:solidFill>
                        <a:miter lim="800000"/>
                        <a:headEnd/>
                        <a:tailEnd/>
                      </a:ln>
                    </wps:spPr>
                    <wps:txbx>
                      <w:txbxContent>
                        <w:p w14:paraId="2D4BE3F6" w14:textId="18DE9B77" w:rsidR="007002E3" w:rsidRPr="0055640C" w:rsidRDefault="007002E3" w:rsidP="00A2452D">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310875">
                            <w:rPr>
                              <w:noProof/>
                              <w:lang w:val="fr-FR"/>
                            </w:rPr>
                            <w:t>1</w:t>
                          </w:r>
                          <w:r w:rsidRPr="0055640C">
                            <w:rPr>
                              <w:lang w:val="fr-F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A78E9" id="Rectangle 2" o:spid="_x0000_s1026" style="position:absolute;left:0;text-align:left;margin-left:0;margin-top:.1pt;width:34.05pt;height:598.2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D0LgIAAFYEAAAOAAAAZHJzL2Uyb0RvYy54bWysVMGO0zAQvSPxD5bvNG02oW3UdFV1WYS0&#10;wIqFD3AcJ7FwbDN2myxfz9ip2i5cECKRLI9n8vzmzUw2t2OvyFGAk0aXdDGbUyI0N7XUbUm/fb1/&#10;s6LEeaZrpowWJX0Wjt5uX7/aDLYQqemMqgUQBNGuGGxJO+9tkSSOd6Jnbmas0OhsDPTMowltUgMb&#10;EL1XSTqfv00GA7UFw4VzeHo3Oek24jeN4P5z0zjhiSopcvNxhbhWYU22G1a0wGwn+YkG+wcWPZMa&#10;Lz1D3THPyAHkH1C95GCcafyMmz4xTSO5iDlgNov5b9k8dcyKmAuK4+xZJvf/YPmn4yMQWWPtMko0&#10;67FGX1A1plslSBr0GawrMOzJPkLI0NkHw787os2+wyixAzBDJ1iNrBYhPnnxQTAcfkqq4aOpEZ0d&#10;vIlSjQ30BAyWJM/m4YmnKAkZY32ez/URoyccD7ObNLvJKeHoWubr5XKZxwtZEbACOQvOvxemJ2FT&#10;UsBMIio7PjgfuF1CYi5GyfpeKhUNaKu9AnJk2Cv5Ct/dCd1dhylNhpKu8zSPyC987u8geumx6ZXs&#10;S7qaMo9tGER8p+u490yqaY+UlT6pGoScCuLHasTAoG5l6mfUNyqJLY7DiJl3Bn5SMmBjl9T9ODAQ&#10;lKgPGmu0XmRZmIRoZPkyRQOuPdW1h2mOUCX1lEzbvZ+m52BBth3etIgyaLPDujYyinxhdeKNzRu1&#10;Pw1amI5rO0ZdfgfbXwAAAP//AwBQSwMEFAAGAAgAAAAhAHC/B7zgAAAADAEAAA8AAABkcnMvZG93&#10;bnJldi54bWxMj8FOwzAMhu9IvENkJG5bum6rUNd0gklIcELrOHDMGq+t1jilydrC02O4jNtv+dPv&#10;z9l2sq0YsPeNIwWLeQQCqXSmoUrB++F59gDCB01Gt45QwRd62Oa3N5lOjRtpj0MRKsEl5FOtoA6h&#10;S6X0ZY1W+7nrkHh3cr3Vgce+kqbXI5fbVsZRlEirG+ILte5wV2N5Li5Wwev3U38aPt8+dq7Yn709&#10;VPjiRqXu76bHDYiAU7jC8KvP6pCz09FdyHjRKpitk1XMrAIOKxCMJMt4CeL4F9Yg80z+fyL/AQAA&#10;//8DAFBLAQItABQABgAIAAAAIQC2gziS/gAAAOEBAAATAAAAAAAAAAAAAAAAAAAAAABbQ29udGVu&#10;dF9UeXBlc10ueG1sUEsBAi0AFAAGAAgAAAAhADj9If/WAAAAlAEAAAsAAAAAAAAAAAAAAAAALwEA&#10;AF9yZWxzLy5yZWxzUEsBAi0AFAAGAAgAAAAhACJfIPQuAgAAVgQAAA4AAAAAAAAAAAAAAAAALgIA&#10;AGRycy9lMm9Eb2MueG1sUEsBAi0AFAAGAAgAAAAhAHC/B7zgAAAADAEAAA8AAAAAAAAAAAAAAAAA&#10;iAQAAGRycy9kb3ducmV2LnhtbFBLBQYAAAAABAAEAPMAAACVBQAAAAA=&#10;" fillcolor="#58585a" strokecolor="#58585a">
              <v:textbox>
                <w:txbxContent>
                  <w:p w14:paraId="2D4BE3F6" w14:textId="18DE9B77" w:rsidR="007002E3" w:rsidRPr="0055640C" w:rsidRDefault="007002E3" w:rsidP="00A2452D">
                    <w:pPr>
                      <w:rPr>
                        <w:lang w:val="fr-FR"/>
                      </w:rPr>
                    </w:pPr>
                    <w:r>
                      <w:rPr>
                        <w:lang w:val="fr-FR"/>
                      </w:rPr>
                      <w:tab/>
                    </w:r>
                    <w:r w:rsidRPr="0055640C">
                      <w:rPr>
                        <w:lang w:val="fr-FR"/>
                      </w:rPr>
                      <w:fldChar w:fldCharType="begin"/>
                    </w:r>
                    <w:r w:rsidRPr="0055640C">
                      <w:rPr>
                        <w:lang w:val="fr-FR"/>
                      </w:rPr>
                      <w:instrText xml:space="preserve"> PAGE   \* MERGEFORMAT </w:instrText>
                    </w:r>
                    <w:r w:rsidRPr="0055640C">
                      <w:rPr>
                        <w:lang w:val="fr-FR"/>
                      </w:rPr>
                      <w:fldChar w:fldCharType="separate"/>
                    </w:r>
                    <w:r w:rsidR="00310875">
                      <w:rPr>
                        <w:noProof/>
                        <w:lang w:val="fr-FR"/>
                      </w:rPr>
                      <w:t>1</w:t>
                    </w:r>
                    <w:r w:rsidRPr="0055640C">
                      <w:rPr>
                        <w:lang w:val="fr-FR"/>
                      </w:rPr>
                      <w:fldChar w:fldCharType="end"/>
                    </w:r>
                  </w:p>
                </w:txbxContent>
              </v:textbox>
            </v:rect>
          </w:pict>
        </mc:Fallback>
      </mc:AlternateContent>
    </w:r>
    <w:r w:rsidR="007002E3" w:rsidRPr="0049646E">
      <w:rPr>
        <w:noProof/>
        <w:lang w:eastAsia="en-GB"/>
      </w:rPr>
      <w:drawing>
        <wp:anchor distT="0" distB="0" distL="114300" distR="114300" simplePos="0" relativeHeight="251655680" behindDoc="0" locked="0" layoutInCell="1" allowOverlap="1" wp14:anchorId="18410FE0" wp14:editId="130ACFD5">
          <wp:simplePos x="0" y="0"/>
          <wp:positionH relativeFrom="page">
            <wp:posOffset>2683510</wp:posOffset>
          </wp:positionH>
          <wp:positionV relativeFrom="paragraph">
            <wp:posOffset>3600450</wp:posOffset>
          </wp:positionV>
          <wp:extent cx="1848409" cy="421117"/>
          <wp:effectExtent l="0" t="0" r="0" b="0"/>
          <wp:wrapNone/>
          <wp:docPr id="2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CH-Logo (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68906" cy="425787"/>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9E986" w14:textId="77777777" w:rsidR="007002E3" w:rsidRPr="00805219" w:rsidRDefault="007002E3" w:rsidP="00A2452D">
    <w:pPr>
      <w:pStyle w:val="Footer"/>
    </w:pPr>
    <w:r>
      <w:rPr>
        <w:noProof/>
        <w:lang w:eastAsia="en-GB"/>
      </w:rPr>
      <w:drawing>
        <wp:anchor distT="0" distB="0" distL="114300" distR="114300" simplePos="0" relativeHeight="251664896" behindDoc="1" locked="0" layoutInCell="1" allowOverlap="1" wp14:anchorId="20D3CE7C" wp14:editId="78A5360C">
          <wp:simplePos x="0" y="0"/>
          <wp:positionH relativeFrom="column">
            <wp:posOffset>-799466</wp:posOffset>
          </wp:positionH>
          <wp:positionV relativeFrom="paragraph">
            <wp:posOffset>-233045</wp:posOffset>
          </wp:positionV>
          <wp:extent cx="7771765" cy="913765"/>
          <wp:effectExtent l="0" t="0" r="635" b="635"/>
          <wp:wrapNone/>
          <wp:docPr id="228" name="Image 228" descr="C:\Users\Megan\AppData\Local\Microsoft\Windows\INetCache\Content.Word\REACH-logobar_.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gan\AppData\Local\Microsoft\Windows\INetCache\Content.Word\REACH-logobar_.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2D">
      <w:rPr>
        <w:i/>
        <w:noProof/>
        <w:lang w:eastAsia="en-GB"/>
      </w:rPr>
      <mc:AlternateContent>
        <mc:Choice Requires="wps">
          <w:drawing>
            <wp:anchor distT="45720" distB="45720" distL="114300" distR="114300" simplePos="0" relativeHeight="251667968" behindDoc="0" locked="0" layoutInCell="1" allowOverlap="1" wp14:anchorId="751763BE" wp14:editId="1D5A53C1">
              <wp:simplePos x="0" y="0"/>
              <wp:positionH relativeFrom="column">
                <wp:posOffset>-419100</wp:posOffset>
              </wp:positionH>
              <wp:positionV relativeFrom="paragraph">
                <wp:posOffset>99695</wp:posOffset>
              </wp:positionV>
              <wp:extent cx="3943350" cy="2667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66700"/>
                      </a:xfrm>
                      <a:prstGeom prst="rect">
                        <a:avLst/>
                      </a:prstGeom>
                      <a:noFill/>
                      <a:ln w="9525">
                        <a:noFill/>
                        <a:miter lim="800000"/>
                        <a:headEnd/>
                        <a:tailEnd/>
                      </a:ln>
                    </wps:spPr>
                    <wps:txbx>
                      <w:txbxContent>
                        <w:p w14:paraId="516C1992" w14:textId="77777777" w:rsidR="007002E3" w:rsidRPr="008A5733" w:rsidRDefault="007002E3" w:rsidP="008A5733">
                          <w:pPr>
                            <w:pStyle w:val="Subtitle"/>
                          </w:pPr>
                          <w:r w:rsidRPr="008A5733">
                            <w:t xml:space="preserve">1 – </w:t>
                          </w:r>
                          <w:r w:rsidRPr="008A5733">
                            <w:rPr>
                              <w:b/>
                            </w:rPr>
                            <w:t>REACH Memo:</w:t>
                          </w:r>
                          <w:r w:rsidRPr="008A5733">
                            <w:t xml:space="preserve"> </w:t>
                          </w:r>
                          <w:r>
                            <w:t>The Programme Development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763BE" id="_x0000_t202" coordsize="21600,21600" o:spt="202" path="m,l,21600r21600,l21600,xe">
              <v:stroke joinstyle="miter"/>
              <v:path gradientshapeok="t" o:connecttype="rect"/>
            </v:shapetype>
            <v:shape id="Zone de texte 2" o:spid="_x0000_s1027" type="#_x0000_t202" style="position:absolute;margin-left:-33pt;margin-top:7.85pt;width:310.5pt;height:21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vEwIAAAAEAAAOAAAAZHJzL2Uyb0RvYy54bWysU02P2yAQvVfqf0DcGzvO18YKWW13u1Wl&#10;7Ye07aU3gnGMCgwFEnv76zvgbDZqb1V9QIyHecx789hcD0aTo/RBgWV0OikpkVZAo+ye0W9f799c&#10;URIitw3XYCWjTzLQ6+3rV5ve1bKCDnQjPUEQG+reMdrF6OqiCKKThocJOGkx2YI3PGLo90XjeY/o&#10;RhdVWS6LHnzjPAgZAv69G5N0m/HbVor4uW2DjEQzir3FvPq87tJabDe83nvuOiVObfB/6MJwZfHS&#10;M9Qdj5wcvPoLyijhIUAbJwJMAW2rhMwckM20/IPNY8edzFxQnODOMoX/Bys+Hb94ohpGq+mKEssN&#10;Duk7joo0kkQ5REmqJFLvQo1nHx2ejsNbGHDYmXBwDyB+BGLhtuN2L2+8h76TvMEmp6myuCgdcUIC&#10;2fUfocG7+CFCBhpab5KCqAlBdBzW03lA2AcR+HO2ns9mC0wJzFXL5arMEyx4/VztfIjvJRiSNox6&#10;NEBG58eHEFM3vH4+ki6zcK+0zibQlvSMrhfVIhdcZIyK6FGtDKNXZfpG1ySS72yTiyNXetzjBdqe&#10;WCeiI+U47IascpYkKbKD5gll8DBaEp8Qbjrwvyjp0Y6Mhp8H7iUl+oNFKdfT+Tz5NwfzxarCwF9m&#10;dpcZbgVCMRopGbe3MXt+pHyDkrcqq/HSyalltFkW6fQkko8v43zq5eFufwMAAP//AwBQSwMEFAAG&#10;AAgAAAAhADWmKkDcAAAACQEAAA8AAABkcnMvZG93bnJldi54bWxMj0FPwzAMhe9I/IfIk7htyRBp&#10;oTSdEIgriLEhccsar61onKrJ1vLvMSe42X5Pz98rN7PvxRnH2AUysF4pEEh1cB01Bnbvz8tbEDFZ&#10;crYPhAa+McKmurwobeHCRG943qZGcAjFwhpoUxoKKWPdordxFQYk1o5h9DbxOjbSjXbicN/La6Uy&#10;6W1H/KG1Az62WH9tT97A/uX4+XGjXpsnr4cpzEqSv5PGXC3mh3sQCef0Z4ZffEaHipkO4UQuit7A&#10;Msu4S2JB5yDYoLXmw4GHPAdZlfJ/g+oHAAD//wMAUEsBAi0AFAAGAAgAAAAhALaDOJL+AAAA4QEA&#10;ABMAAAAAAAAAAAAAAAAAAAAAAFtDb250ZW50X1R5cGVzXS54bWxQSwECLQAUAAYACAAAACEAOP0h&#10;/9YAAACUAQAACwAAAAAAAAAAAAAAAAAvAQAAX3JlbHMvLnJlbHNQSwECLQAUAAYACAAAACEAAzfn&#10;7xMCAAAABAAADgAAAAAAAAAAAAAAAAAuAgAAZHJzL2Uyb0RvYy54bWxQSwECLQAUAAYACAAAACEA&#10;NaYqQNwAAAAJAQAADwAAAAAAAAAAAAAAAABtBAAAZHJzL2Rvd25yZXYueG1sUEsFBgAAAAAEAAQA&#10;8wAAAHYFAAAAAA==&#10;" filled="f" stroked="f">
              <v:textbox>
                <w:txbxContent>
                  <w:p w14:paraId="516C1992" w14:textId="77777777" w:rsidR="007002E3" w:rsidRPr="008A5733" w:rsidRDefault="007002E3" w:rsidP="008A5733">
                    <w:pPr>
                      <w:pStyle w:val="Subtitle"/>
                    </w:pPr>
                    <w:r w:rsidRPr="008A5733">
                      <w:t xml:space="preserve">1 – </w:t>
                    </w:r>
                    <w:r w:rsidRPr="008A5733">
                      <w:rPr>
                        <w:b/>
                      </w:rPr>
                      <w:t>REACH Memo:</w:t>
                    </w:r>
                    <w:r w:rsidRPr="008A5733">
                      <w:t xml:space="preserve"> </w:t>
                    </w:r>
                    <w:r>
                      <w:t>The Programme Development Process</w:t>
                    </w:r>
                  </w:p>
                </w:txbxContent>
              </v:textbox>
              <w10:wrap type="square"/>
            </v:shape>
          </w:pict>
        </mc:Fallback>
      </mc:AlternateContent>
    </w:r>
    <w:r>
      <w:rPr>
        <w:noProof/>
        <w:lang w:eastAsia="en-GB"/>
      </w:rPr>
      <w:t xml:space="preserve"> </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DD825A" w14:textId="77777777" w:rsidR="00342725" w:rsidRDefault="00342725" w:rsidP="00A2452D">
      <w:r>
        <w:separator/>
      </w:r>
    </w:p>
  </w:footnote>
  <w:footnote w:type="continuationSeparator" w:id="0">
    <w:p w14:paraId="5279C43B" w14:textId="77777777" w:rsidR="00342725" w:rsidRDefault="00342725" w:rsidP="00A245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94583F"/>
    <w:multiLevelType w:val="hybridMultilevel"/>
    <w:tmpl w:val="66C8A5B0"/>
    <w:lvl w:ilvl="0" w:tplc="54A46BBC">
      <w:start w:val="2015"/>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48352D"/>
    <w:multiLevelType w:val="hybridMultilevel"/>
    <w:tmpl w:val="9BEC5B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2B2266"/>
    <w:multiLevelType w:val="hybridMultilevel"/>
    <w:tmpl w:val="24DEC4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365EDB"/>
    <w:multiLevelType w:val="hybridMultilevel"/>
    <w:tmpl w:val="97589946"/>
    <w:lvl w:ilvl="0" w:tplc="0DF0FE3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49B03B9"/>
    <w:multiLevelType w:val="hybridMultilevel"/>
    <w:tmpl w:val="0054CC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E1639"/>
    <w:multiLevelType w:val="hybridMultilevel"/>
    <w:tmpl w:val="4A949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B3062F"/>
    <w:multiLevelType w:val="hybridMultilevel"/>
    <w:tmpl w:val="833AC7E8"/>
    <w:lvl w:ilvl="0" w:tplc="E2F8E99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5F911989"/>
    <w:multiLevelType w:val="hybridMultilevel"/>
    <w:tmpl w:val="2B084648"/>
    <w:lvl w:ilvl="0" w:tplc="F072CB2E">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790A6D"/>
    <w:multiLevelType w:val="hybridMultilevel"/>
    <w:tmpl w:val="D55CA85C"/>
    <w:lvl w:ilvl="0" w:tplc="0556F028">
      <w:numFmt w:val="bullet"/>
      <w:lvlText w:val="-"/>
      <w:lvlJc w:val="left"/>
      <w:pPr>
        <w:ind w:left="720" w:hanging="360"/>
      </w:pPr>
      <w:rPr>
        <w:rFonts w:ascii="Arial Narrow" w:eastAsia="Calibr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31960EE"/>
    <w:multiLevelType w:val="hybridMultilevel"/>
    <w:tmpl w:val="A05ED4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1"/>
  </w:num>
  <w:num w:numId="5">
    <w:abstractNumId w:val="9"/>
  </w:num>
  <w:num w:numId="6">
    <w:abstractNumId w:val="2"/>
  </w:num>
  <w:num w:numId="7">
    <w:abstractNumId w:val="5"/>
  </w:num>
  <w:num w:numId="8">
    <w:abstractNumId w:val="4"/>
  </w:num>
  <w:num w:numId="9">
    <w:abstractNumId w:val="8"/>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709"/>
    <w:rsid w:val="00005F3F"/>
    <w:rsid w:val="000176FC"/>
    <w:rsid w:val="00025BC1"/>
    <w:rsid w:val="000275E3"/>
    <w:rsid w:val="0004217E"/>
    <w:rsid w:val="0004244C"/>
    <w:rsid w:val="000501F4"/>
    <w:rsid w:val="00052421"/>
    <w:rsid w:val="000735C3"/>
    <w:rsid w:val="0008443E"/>
    <w:rsid w:val="000950B3"/>
    <w:rsid w:val="000B3A07"/>
    <w:rsid w:val="000C6035"/>
    <w:rsid w:val="000D3541"/>
    <w:rsid w:val="000F332B"/>
    <w:rsid w:val="00106511"/>
    <w:rsid w:val="00106CD6"/>
    <w:rsid w:val="00114811"/>
    <w:rsid w:val="00133D6F"/>
    <w:rsid w:val="00136B80"/>
    <w:rsid w:val="00157DE8"/>
    <w:rsid w:val="00160AFA"/>
    <w:rsid w:val="0016540D"/>
    <w:rsid w:val="001862BB"/>
    <w:rsid w:val="00191AAC"/>
    <w:rsid w:val="001A3330"/>
    <w:rsid w:val="001B044A"/>
    <w:rsid w:val="001B73AE"/>
    <w:rsid w:val="001B7FB5"/>
    <w:rsid w:val="001C0B91"/>
    <w:rsid w:val="001D482B"/>
    <w:rsid w:val="001D69D5"/>
    <w:rsid w:val="001E6723"/>
    <w:rsid w:val="001F0157"/>
    <w:rsid w:val="001F0DA2"/>
    <w:rsid w:val="001F62AB"/>
    <w:rsid w:val="002072BF"/>
    <w:rsid w:val="0020745B"/>
    <w:rsid w:val="00214391"/>
    <w:rsid w:val="00224B21"/>
    <w:rsid w:val="0022625D"/>
    <w:rsid w:val="002339E7"/>
    <w:rsid w:val="002638CD"/>
    <w:rsid w:val="00266063"/>
    <w:rsid w:val="002669E6"/>
    <w:rsid w:val="00271728"/>
    <w:rsid w:val="00275D28"/>
    <w:rsid w:val="002761A2"/>
    <w:rsid w:val="00280778"/>
    <w:rsid w:val="00283388"/>
    <w:rsid w:val="00295519"/>
    <w:rsid w:val="00297229"/>
    <w:rsid w:val="00297DE1"/>
    <w:rsid w:val="002A09BD"/>
    <w:rsid w:val="002A2B16"/>
    <w:rsid w:val="002A6C14"/>
    <w:rsid w:val="002E3C26"/>
    <w:rsid w:val="002F1DF0"/>
    <w:rsid w:val="00307E6F"/>
    <w:rsid w:val="00310875"/>
    <w:rsid w:val="00322C1A"/>
    <w:rsid w:val="00325224"/>
    <w:rsid w:val="00326A81"/>
    <w:rsid w:val="00331FC2"/>
    <w:rsid w:val="00336DF5"/>
    <w:rsid w:val="00342725"/>
    <w:rsid w:val="00361FB9"/>
    <w:rsid w:val="003672F0"/>
    <w:rsid w:val="003714F7"/>
    <w:rsid w:val="00374A9F"/>
    <w:rsid w:val="00383348"/>
    <w:rsid w:val="003853C9"/>
    <w:rsid w:val="00387D33"/>
    <w:rsid w:val="00387FC3"/>
    <w:rsid w:val="00394292"/>
    <w:rsid w:val="003A3BF8"/>
    <w:rsid w:val="003A6349"/>
    <w:rsid w:val="003B1C31"/>
    <w:rsid w:val="003B4951"/>
    <w:rsid w:val="003C3F70"/>
    <w:rsid w:val="003D179B"/>
    <w:rsid w:val="003E2B09"/>
    <w:rsid w:val="003E3FFB"/>
    <w:rsid w:val="003F71BB"/>
    <w:rsid w:val="003F7532"/>
    <w:rsid w:val="0040405F"/>
    <w:rsid w:val="00405B3F"/>
    <w:rsid w:val="00407694"/>
    <w:rsid w:val="00425414"/>
    <w:rsid w:val="004340AB"/>
    <w:rsid w:val="00446328"/>
    <w:rsid w:val="00451218"/>
    <w:rsid w:val="004546F8"/>
    <w:rsid w:val="004562C1"/>
    <w:rsid w:val="00461E7D"/>
    <w:rsid w:val="00464300"/>
    <w:rsid w:val="00482A11"/>
    <w:rsid w:val="00487E9F"/>
    <w:rsid w:val="0049146D"/>
    <w:rsid w:val="0049646E"/>
    <w:rsid w:val="004A585A"/>
    <w:rsid w:val="004B4238"/>
    <w:rsid w:val="004B74B9"/>
    <w:rsid w:val="004C2559"/>
    <w:rsid w:val="004E5AE1"/>
    <w:rsid w:val="00502BF6"/>
    <w:rsid w:val="00503856"/>
    <w:rsid w:val="00505FA3"/>
    <w:rsid w:val="005073C9"/>
    <w:rsid w:val="005115BE"/>
    <w:rsid w:val="005155A2"/>
    <w:rsid w:val="0052722A"/>
    <w:rsid w:val="00535940"/>
    <w:rsid w:val="00542565"/>
    <w:rsid w:val="0054648E"/>
    <w:rsid w:val="0054770C"/>
    <w:rsid w:val="00573332"/>
    <w:rsid w:val="005812E1"/>
    <w:rsid w:val="005C7F5B"/>
    <w:rsid w:val="005D47A3"/>
    <w:rsid w:val="005D7E59"/>
    <w:rsid w:val="005E528D"/>
    <w:rsid w:val="005E666B"/>
    <w:rsid w:val="005F176C"/>
    <w:rsid w:val="006120CE"/>
    <w:rsid w:val="00612CA9"/>
    <w:rsid w:val="00613F85"/>
    <w:rsid w:val="00626492"/>
    <w:rsid w:val="0063034C"/>
    <w:rsid w:val="006403D0"/>
    <w:rsid w:val="006437CE"/>
    <w:rsid w:val="00651F99"/>
    <w:rsid w:val="00654B71"/>
    <w:rsid w:val="00657CA5"/>
    <w:rsid w:val="0067043F"/>
    <w:rsid w:val="00681290"/>
    <w:rsid w:val="006B66B3"/>
    <w:rsid w:val="006D003B"/>
    <w:rsid w:val="006D7AD2"/>
    <w:rsid w:val="006E1CA4"/>
    <w:rsid w:val="006E26A1"/>
    <w:rsid w:val="006E4901"/>
    <w:rsid w:val="006F0A5E"/>
    <w:rsid w:val="007002E3"/>
    <w:rsid w:val="00703698"/>
    <w:rsid w:val="007157EC"/>
    <w:rsid w:val="00715F09"/>
    <w:rsid w:val="00720BF3"/>
    <w:rsid w:val="007254DE"/>
    <w:rsid w:val="007367FB"/>
    <w:rsid w:val="00751893"/>
    <w:rsid w:val="007518A0"/>
    <w:rsid w:val="007727AF"/>
    <w:rsid w:val="007A2658"/>
    <w:rsid w:val="007A2E50"/>
    <w:rsid w:val="007A387E"/>
    <w:rsid w:val="007B7DE3"/>
    <w:rsid w:val="007D13FE"/>
    <w:rsid w:val="007D6C3A"/>
    <w:rsid w:val="007E0709"/>
    <w:rsid w:val="007E306A"/>
    <w:rsid w:val="007E52F0"/>
    <w:rsid w:val="00805219"/>
    <w:rsid w:val="00806A8A"/>
    <w:rsid w:val="0082779D"/>
    <w:rsid w:val="0083237A"/>
    <w:rsid w:val="008343AD"/>
    <w:rsid w:val="008369B2"/>
    <w:rsid w:val="008435B7"/>
    <w:rsid w:val="008557E3"/>
    <w:rsid w:val="00872F74"/>
    <w:rsid w:val="0087530C"/>
    <w:rsid w:val="00883674"/>
    <w:rsid w:val="00890F94"/>
    <w:rsid w:val="00891BCA"/>
    <w:rsid w:val="008A397F"/>
    <w:rsid w:val="008A5733"/>
    <w:rsid w:val="008A5954"/>
    <w:rsid w:val="008B6417"/>
    <w:rsid w:val="008D1178"/>
    <w:rsid w:val="008D3EA9"/>
    <w:rsid w:val="008E54E5"/>
    <w:rsid w:val="008F55E9"/>
    <w:rsid w:val="009015B5"/>
    <w:rsid w:val="0091547F"/>
    <w:rsid w:val="00930521"/>
    <w:rsid w:val="0093080B"/>
    <w:rsid w:val="00943AC3"/>
    <w:rsid w:val="00954DBC"/>
    <w:rsid w:val="0096047E"/>
    <w:rsid w:val="00960A84"/>
    <w:rsid w:val="00967A30"/>
    <w:rsid w:val="009706A7"/>
    <w:rsid w:val="00985B3C"/>
    <w:rsid w:val="009A1F01"/>
    <w:rsid w:val="009A42B3"/>
    <w:rsid w:val="009B104C"/>
    <w:rsid w:val="009B6F8D"/>
    <w:rsid w:val="009B70D4"/>
    <w:rsid w:val="009C1E37"/>
    <w:rsid w:val="009C31BE"/>
    <w:rsid w:val="009E5C10"/>
    <w:rsid w:val="009F5A7F"/>
    <w:rsid w:val="009F7CD4"/>
    <w:rsid w:val="00A0495F"/>
    <w:rsid w:val="00A069B6"/>
    <w:rsid w:val="00A20D7D"/>
    <w:rsid w:val="00A23F2D"/>
    <w:rsid w:val="00A2452D"/>
    <w:rsid w:val="00A259CF"/>
    <w:rsid w:val="00A2774F"/>
    <w:rsid w:val="00A37666"/>
    <w:rsid w:val="00A5536F"/>
    <w:rsid w:val="00A56D30"/>
    <w:rsid w:val="00A56DB3"/>
    <w:rsid w:val="00A60411"/>
    <w:rsid w:val="00A62046"/>
    <w:rsid w:val="00A65F28"/>
    <w:rsid w:val="00A80828"/>
    <w:rsid w:val="00A8082F"/>
    <w:rsid w:val="00A83655"/>
    <w:rsid w:val="00A94EA9"/>
    <w:rsid w:val="00AA526D"/>
    <w:rsid w:val="00AB1C79"/>
    <w:rsid w:val="00AC1516"/>
    <w:rsid w:val="00AC6FF7"/>
    <w:rsid w:val="00AD0233"/>
    <w:rsid w:val="00AE1A5F"/>
    <w:rsid w:val="00AF20BD"/>
    <w:rsid w:val="00AF337E"/>
    <w:rsid w:val="00AF48BF"/>
    <w:rsid w:val="00B10B12"/>
    <w:rsid w:val="00B175B8"/>
    <w:rsid w:val="00B33A93"/>
    <w:rsid w:val="00B35386"/>
    <w:rsid w:val="00B41F33"/>
    <w:rsid w:val="00B43295"/>
    <w:rsid w:val="00B459AA"/>
    <w:rsid w:val="00B47119"/>
    <w:rsid w:val="00B520F7"/>
    <w:rsid w:val="00B52660"/>
    <w:rsid w:val="00B57169"/>
    <w:rsid w:val="00B67E02"/>
    <w:rsid w:val="00B77B32"/>
    <w:rsid w:val="00B86053"/>
    <w:rsid w:val="00BA0455"/>
    <w:rsid w:val="00BA7798"/>
    <w:rsid w:val="00BB4673"/>
    <w:rsid w:val="00BD163E"/>
    <w:rsid w:val="00BD7454"/>
    <w:rsid w:val="00BE31A5"/>
    <w:rsid w:val="00BE63F6"/>
    <w:rsid w:val="00BF0AE0"/>
    <w:rsid w:val="00C01973"/>
    <w:rsid w:val="00C128D3"/>
    <w:rsid w:val="00C13FDA"/>
    <w:rsid w:val="00C20C59"/>
    <w:rsid w:val="00C227ED"/>
    <w:rsid w:val="00C303B3"/>
    <w:rsid w:val="00C31C0D"/>
    <w:rsid w:val="00C3564D"/>
    <w:rsid w:val="00C44B9E"/>
    <w:rsid w:val="00C46088"/>
    <w:rsid w:val="00C5646B"/>
    <w:rsid w:val="00C623CE"/>
    <w:rsid w:val="00C63045"/>
    <w:rsid w:val="00C64912"/>
    <w:rsid w:val="00C703AD"/>
    <w:rsid w:val="00C737C7"/>
    <w:rsid w:val="00C90C2F"/>
    <w:rsid w:val="00C933BB"/>
    <w:rsid w:val="00C95E0B"/>
    <w:rsid w:val="00CA527F"/>
    <w:rsid w:val="00CB10B5"/>
    <w:rsid w:val="00CC0156"/>
    <w:rsid w:val="00CD20AE"/>
    <w:rsid w:val="00CD6CCE"/>
    <w:rsid w:val="00CF2BA2"/>
    <w:rsid w:val="00D05535"/>
    <w:rsid w:val="00D14EFE"/>
    <w:rsid w:val="00D20CF3"/>
    <w:rsid w:val="00D252BC"/>
    <w:rsid w:val="00D25FAA"/>
    <w:rsid w:val="00D27963"/>
    <w:rsid w:val="00D303EA"/>
    <w:rsid w:val="00D363BD"/>
    <w:rsid w:val="00D42AE4"/>
    <w:rsid w:val="00D51EFD"/>
    <w:rsid w:val="00D52C09"/>
    <w:rsid w:val="00D55A1F"/>
    <w:rsid w:val="00D563E1"/>
    <w:rsid w:val="00D569D8"/>
    <w:rsid w:val="00D66A8B"/>
    <w:rsid w:val="00D82694"/>
    <w:rsid w:val="00D9474A"/>
    <w:rsid w:val="00DA27D0"/>
    <w:rsid w:val="00DA29C0"/>
    <w:rsid w:val="00DB400F"/>
    <w:rsid w:val="00DC0D3A"/>
    <w:rsid w:val="00DE1518"/>
    <w:rsid w:val="00DE1B34"/>
    <w:rsid w:val="00DE3287"/>
    <w:rsid w:val="00DE5B09"/>
    <w:rsid w:val="00E00C3A"/>
    <w:rsid w:val="00E063EA"/>
    <w:rsid w:val="00E1181D"/>
    <w:rsid w:val="00E21251"/>
    <w:rsid w:val="00E26AE1"/>
    <w:rsid w:val="00E26E45"/>
    <w:rsid w:val="00E505B1"/>
    <w:rsid w:val="00E62F9E"/>
    <w:rsid w:val="00E63386"/>
    <w:rsid w:val="00E67712"/>
    <w:rsid w:val="00E70D83"/>
    <w:rsid w:val="00E711D6"/>
    <w:rsid w:val="00E94230"/>
    <w:rsid w:val="00E94B0B"/>
    <w:rsid w:val="00EA311D"/>
    <w:rsid w:val="00EA5F94"/>
    <w:rsid w:val="00EB7829"/>
    <w:rsid w:val="00F321F0"/>
    <w:rsid w:val="00F37EA6"/>
    <w:rsid w:val="00F61D5D"/>
    <w:rsid w:val="00F63CDB"/>
    <w:rsid w:val="00F64B4B"/>
    <w:rsid w:val="00F7633C"/>
    <w:rsid w:val="00F81A1E"/>
    <w:rsid w:val="00F848C1"/>
    <w:rsid w:val="00FA0F05"/>
    <w:rsid w:val="00FB60A3"/>
    <w:rsid w:val="00FC311D"/>
    <w:rsid w:val="00FE0C04"/>
    <w:rsid w:val="00FE21BA"/>
    <w:rsid w:val="00FF01C9"/>
    <w:rsid w:val="00FF461E"/>
    <w:rsid w:val="00FF4EC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CD598A"/>
  <w15:docId w15:val="{57CD7FAB-60E7-4FF2-B064-9A9253688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811"/>
    <w:pPr>
      <w:spacing w:before="40" w:after="40"/>
    </w:pPr>
    <w:rPr>
      <w:rFonts w:ascii="Arial Narrow" w:hAnsi="Arial Narrow"/>
      <w:sz w:val="22"/>
      <w:szCs w:val="22"/>
      <w:lang w:val="en-GB"/>
    </w:rPr>
  </w:style>
  <w:style w:type="paragraph" w:styleId="Heading1">
    <w:name w:val="heading 1"/>
    <w:basedOn w:val="Normal"/>
    <w:next w:val="Normal"/>
    <w:link w:val="Heading1Char"/>
    <w:uiPriority w:val="9"/>
    <w:qFormat/>
    <w:rsid w:val="00EB7829"/>
    <w:pPr>
      <w:outlineLvl w:val="0"/>
    </w:pPr>
    <w:rPr>
      <w:b/>
      <w:bCs/>
      <w:color w:val="EE5859"/>
      <w:w w:val="90"/>
      <w:sz w:val="36"/>
      <w:szCs w:val="36"/>
    </w:rPr>
  </w:style>
  <w:style w:type="paragraph" w:styleId="Heading2">
    <w:name w:val="heading 2"/>
    <w:basedOn w:val="Normal"/>
    <w:next w:val="Normal"/>
    <w:link w:val="Heading2Char"/>
    <w:uiPriority w:val="9"/>
    <w:unhideWhenUsed/>
    <w:qFormat/>
    <w:rsid w:val="00B86053"/>
    <w:pPr>
      <w:spacing w:after="120"/>
      <w:outlineLvl w:val="1"/>
    </w:pPr>
    <w:rPr>
      <w:b/>
      <w:sz w:val="32"/>
    </w:rPr>
  </w:style>
  <w:style w:type="paragraph" w:styleId="Heading3">
    <w:name w:val="heading 3"/>
    <w:basedOn w:val="Normal"/>
    <w:next w:val="Normal"/>
    <w:link w:val="Heading3Char"/>
    <w:uiPriority w:val="9"/>
    <w:unhideWhenUsed/>
    <w:qFormat/>
    <w:rsid w:val="004C2559"/>
    <w:pPr>
      <w:spacing w:before="240" w:after="120"/>
      <w:outlineLvl w:val="2"/>
    </w:pPr>
    <w:rPr>
      <w:b/>
    </w:rPr>
  </w:style>
  <w:style w:type="paragraph" w:styleId="Heading4">
    <w:name w:val="heading 4"/>
    <w:basedOn w:val="Normal"/>
    <w:next w:val="Normal"/>
    <w:link w:val="Heading4Char"/>
    <w:uiPriority w:val="9"/>
    <w:unhideWhenUsed/>
    <w:qFormat/>
    <w:rsid w:val="002A6C14"/>
    <w:pPr>
      <w:outlineLvl w:val="3"/>
    </w:pPr>
  </w:style>
  <w:style w:type="paragraph" w:styleId="Heading5">
    <w:name w:val="heading 5"/>
    <w:basedOn w:val="Normal"/>
    <w:next w:val="Normal"/>
    <w:link w:val="Heading5Char"/>
    <w:uiPriority w:val="9"/>
    <w:unhideWhenUsed/>
    <w:qFormat/>
    <w:rsid w:val="002A6C14"/>
    <w:pPr>
      <w:outlineLvl w:val="4"/>
    </w:pPr>
    <w:rPr>
      <w:b/>
      <w:color w:val="000000" w:themeColor="text1"/>
      <w14:textFill>
        <w14:solidFill>
          <w14:schemeClr w14:val="tx1">
            <w14:lumMod w14:val="75000"/>
            <w14:lumOff w14:val="25000"/>
            <w14:lumMod w14:val="50000"/>
            <w14:lumOff w14:val="50000"/>
          </w14:scheme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2"/>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NormalWeb">
    <w:name w:val="Normal (Web)"/>
    <w:basedOn w:val="Normal"/>
    <w:uiPriority w:val="99"/>
    <w:unhideWhenUsed/>
    <w:rsid w:val="00654B71"/>
    <w:pPr>
      <w:spacing w:before="100" w:beforeAutospacing="1" w:after="100" w:afterAutospacing="1"/>
    </w:pPr>
    <w:rPr>
      <w:rFonts w:ascii="Times New Roman" w:eastAsia="Times New Roman" w:hAnsi="Times New Roman"/>
      <w:sz w:val="24"/>
      <w:szCs w:val="24"/>
      <w:lang w:val="fr-FR" w:eastAsia="fr-FR"/>
    </w:rPr>
  </w:style>
  <w:style w:type="character" w:styleId="CommentReference">
    <w:name w:val="annotation reference"/>
    <w:uiPriority w:val="99"/>
    <w:semiHidden/>
    <w:unhideWhenUsed/>
    <w:rsid w:val="001D69D5"/>
    <w:rPr>
      <w:sz w:val="18"/>
      <w:szCs w:val="18"/>
    </w:rPr>
  </w:style>
  <w:style w:type="paragraph" w:styleId="CommentText">
    <w:name w:val="annotation text"/>
    <w:basedOn w:val="Normal"/>
    <w:link w:val="CommentTextChar"/>
    <w:uiPriority w:val="99"/>
    <w:semiHidden/>
    <w:unhideWhenUsed/>
    <w:rsid w:val="001D69D5"/>
    <w:rPr>
      <w:sz w:val="24"/>
      <w:szCs w:val="24"/>
    </w:rPr>
  </w:style>
  <w:style w:type="character" w:customStyle="1" w:styleId="CommentTextChar">
    <w:name w:val="Comment Text Char"/>
    <w:link w:val="CommentText"/>
    <w:uiPriority w:val="99"/>
    <w:semiHidden/>
    <w:rsid w:val="001D69D5"/>
    <w:rPr>
      <w:sz w:val="24"/>
      <w:szCs w:val="24"/>
    </w:rPr>
  </w:style>
  <w:style w:type="paragraph" w:styleId="CommentSubject">
    <w:name w:val="annotation subject"/>
    <w:basedOn w:val="CommentText"/>
    <w:next w:val="CommentText"/>
    <w:link w:val="CommentSubjectChar"/>
    <w:uiPriority w:val="99"/>
    <w:semiHidden/>
    <w:unhideWhenUsed/>
    <w:rsid w:val="001D69D5"/>
    <w:rPr>
      <w:b/>
      <w:bCs/>
      <w:sz w:val="20"/>
      <w:szCs w:val="20"/>
    </w:rPr>
  </w:style>
  <w:style w:type="character" w:customStyle="1" w:styleId="CommentSubjectChar">
    <w:name w:val="Comment Subject Char"/>
    <w:link w:val="CommentSubject"/>
    <w:uiPriority w:val="99"/>
    <w:semiHidden/>
    <w:rsid w:val="001D69D5"/>
    <w:rPr>
      <w:b/>
      <w:bCs/>
      <w:sz w:val="24"/>
      <w:szCs w:val="24"/>
    </w:rPr>
  </w:style>
  <w:style w:type="paragraph" w:customStyle="1" w:styleId="ColorfulShading-Accent11">
    <w:name w:val="Colorful Shading - Accent 11"/>
    <w:hidden/>
    <w:uiPriority w:val="71"/>
    <w:rsid w:val="00DE3287"/>
    <w:rPr>
      <w:sz w:val="22"/>
      <w:szCs w:val="22"/>
    </w:rPr>
  </w:style>
  <w:style w:type="paragraph" w:styleId="NoSpacing">
    <w:name w:val="No Spacing"/>
    <w:basedOn w:val="Normal"/>
    <w:qFormat/>
    <w:rsid w:val="00A2452D"/>
  </w:style>
  <w:style w:type="paragraph" w:styleId="ListParagraph">
    <w:name w:val="List Paragraph"/>
    <w:basedOn w:val="Normal"/>
    <w:uiPriority w:val="72"/>
    <w:rsid w:val="00C128D3"/>
    <w:pPr>
      <w:ind w:left="720"/>
      <w:contextualSpacing/>
    </w:pPr>
  </w:style>
  <w:style w:type="character" w:styleId="Hyperlink">
    <w:name w:val="Hyperlink"/>
    <w:basedOn w:val="DefaultParagraphFont"/>
    <w:uiPriority w:val="99"/>
    <w:unhideWhenUsed/>
    <w:rsid w:val="00B175B8"/>
    <w:rPr>
      <w:color w:val="0000FF" w:themeColor="hyperlink"/>
      <w:u w:val="single"/>
    </w:rPr>
  </w:style>
  <w:style w:type="paragraph" w:styleId="Title">
    <w:name w:val="Title"/>
    <w:basedOn w:val="Normal"/>
    <w:next w:val="Normal"/>
    <w:link w:val="TitleChar"/>
    <w:uiPriority w:val="10"/>
    <w:qFormat/>
    <w:rsid w:val="00EB7829"/>
    <w:rPr>
      <w:b/>
      <w:color w:val="EE5859"/>
      <w:sz w:val="40"/>
    </w:rPr>
  </w:style>
  <w:style w:type="character" w:customStyle="1" w:styleId="TitleChar">
    <w:name w:val="Title Char"/>
    <w:basedOn w:val="DefaultParagraphFont"/>
    <w:link w:val="Title"/>
    <w:uiPriority w:val="10"/>
    <w:rsid w:val="00EB7829"/>
    <w:rPr>
      <w:rFonts w:ascii="Arial Narrow" w:hAnsi="Arial Narrow"/>
      <w:b/>
      <w:color w:val="EE5859"/>
      <w:sz w:val="40"/>
      <w:szCs w:val="22"/>
    </w:rPr>
  </w:style>
  <w:style w:type="paragraph" w:styleId="Subtitle">
    <w:name w:val="Subtitle"/>
    <w:basedOn w:val="NoSpacing"/>
    <w:next w:val="Normal"/>
    <w:link w:val="SubtitleChar"/>
    <w:uiPriority w:val="11"/>
    <w:qFormat/>
    <w:rsid w:val="008A5733"/>
    <w:rPr>
      <w:color w:val="FFFFFF" w:themeColor="background1"/>
    </w:rPr>
  </w:style>
  <w:style w:type="character" w:customStyle="1" w:styleId="SubtitleChar">
    <w:name w:val="Subtitle Char"/>
    <w:basedOn w:val="DefaultParagraphFont"/>
    <w:link w:val="Subtitle"/>
    <w:uiPriority w:val="11"/>
    <w:rsid w:val="008A5733"/>
    <w:rPr>
      <w:rFonts w:ascii="Arial Narrow" w:hAnsi="Arial Narrow"/>
      <w:color w:val="FFFFFF" w:themeColor="background1"/>
      <w:sz w:val="22"/>
      <w:szCs w:val="22"/>
    </w:rPr>
  </w:style>
  <w:style w:type="character" w:customStyle="1" w:styleId="Heading2Char">
    <w:name w:val="Heading 2 Char"/>
    <w:basedOn w:val="DefaultParagraphFont"/>
    <w:link w:val="Heading2"/>
    <w:uiPriority w:val="9"/>
    <w:rsid w:val="00B86053"/>
    <w:rPr>
      <w:rFonts w:ascii="Arial Narrow" w:hAnsi="Arial Narrow"/>
      <w:b/>
      <w:sz w:val="32"/>
      <w:szCs w:val="22"/>
    </w:rPr>
  </w:style>
  <w:style w:type="character" w:customStyle="1" w:styleId="Heading1Char">
    <w:name w:val="Heading 1 Char"/>
    <w:basedOn w:val="DefaultParagraphFont"/>
    <w:link w:val="Heading1"/>
    <w:uiPriority w:val="9"/>
    <w:rsid w:val="00EB7829"/>
    <w:rPr>
      <w:rFonts w:ascii="Arial Narrow" w:hAnsi="Arial Narrow"/>
      <w:b/>
      <w:bCs/>
      <w:color w:val="EE5859"/>
      <w:w w:val="90"/>
      <w:sz w:val="36"/>
      <w:szCs w:val="36"/>
    </w:rPr>
  </w:style>
  <w:style w:type="character" w:customStyle="1" w:styleId="Heading3Char">
    <w:name w:val="Heading 3 Char"/>
    <w:basedOn w:val="DefaultParagraphFont"/>
    <w:link w:val="Heading3"/>
    <w:uiPriority w:val="9"/>
    <w:rsid w:val="004C2559"/>
    <w:rPr>
      <w:rFonts w:ascii="Arial Narrow" w:hAnsi="Arial Narrow"/>
      <w:b/>
      <w:sz w:val="22"/>
      <w:szCs w:val="22"/>
    </w:rPr>
  </w:style>
  <w:style w:type="character" w:customStyle="1" w:styleId="Heading4Char">
    <w:name w:val="Heading 4 Char"/>
    <w:basedOn w:val="DefaultParagraphFont"/>
    <w:link w:val="Heading4"/>
    <w:uiPriority w:val="9"/>
    <w:rsid w:val="002A6C14"/>
    <w:rPr>
      <w:rFonts w:ascii="Arial Narrow" w:hAnsi="Arial Narrow"/>
      <w:sz w:val="22"/>
      <w:szCs w:val="22"/>
      <w:lang w:val="en-GB"/>
    </w:rPr>
  </w:style>
  <w:style w:type="character" w:styleId="SubtleReference">
    <w:name w:val="Subtle Reference"/>
    <w:basedOn w:val="DefaultParagraphFont"/>
    <w:uiPriority w:val="31"/>
    <w:qFormat/>
    <w:rsid w:val="002A6C14"/>
    <w:rPr>
      <w:rFonts w:ascii="Arial Narrow" w:hAnsi="Arial Narrow"/>
      <w:smallCaps/>
      <w:color w:val="5A5A5A" w:themeColor="text1" w:themeTint="A5"/>
      <w:sz w:val="20"/>
    </w:rPr>
  </w:style>
  <w:style w:type="character" w:customStyle="1" w:styleId="Heading5Char">
    <w:name w:val="Heading 5 Char"/>
    <w:basedOn w:val="DefaultParagraphFont"/>
    <w:link w:val="Heading5"/>
    <w:uiPriority w:val="9"/>
    <w:rsid w:val="002A6C14"/>
    <w:rPr>
      <w:rFonts w:ascii="Arial Narrow" w:hAnsi="Arial Narrow"/>
      <w:b/>
      <w:color w:val="000000" w:themeColor="text1"/>
      <w:sz w:val="22"/>
      <w:szCs w:val="22"/>
      <w14:textFill>
        <w14:solidFill>
          <w14:schemeClr w14:val="tx1">
            <w14:lumMod w14:val="75000"/>
            <w14:lumOff w14:val="25000"/>
            <w14:lumMod w14:val="50000"/>
            <w14:lumOff w14:val="50000"/>
          </w14:schemeClr>
        </w14:solidFill>
      </w14:textFill>
    </w:rPr>
  </w:style>
  <w:style w:type="paragraph" w:customStyle="1" w:styleId="Greytitle">
    <w:name w:val="Grey title"/>
    <w:basedOn w:val="Normal"/>
    <w:next w:val="Normal"/>
    <w:qFormat/>
    <w:rsid w:val="00114811"/>
    <w:pPr>
      <w:keepNext/>
      <w:shd w:val="clear" w:color="auto" w:fill="58585A"/>
      <w:spacing w:before="240" w:after="120"/>
      <w:ind w:left="57"/>
    </w:pPr>
    <w:rPr>
      <w:b/>
      <w:color w:val="FFFFFF" w:themeColor="background1"/>
    </w:rPr>
  </w:style>
  <w:style w:type="character" w:styleId="PageNumber">
    <w:name w:val="page number"/>
    <w:basedOn w:val="DefaultParagraphFont"/>
    <w:uiPriority w:val="99"/>
    <w:semiHidden/>
    <w:unhideWhenUsed/>
    <w:rsid w:val="00872F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6807">
      <w:bodyDiv w:val="1"/>
      <w:marLeft w:val="0"/>
      <w:marRight w:val="0"/>
      <w:marTop w:val="0"/>
      <w:marBottom w:val="0"/>
      <w:divBdr>
        <w:top w:val="none" w:sz="0" w:space="0" w:color="auto"/>
        <w:left w:val="none" w:sz="0" w:space="0" w:color="auto"/>
        <w:bottom w:val="none" w:sz="0" w:space="0" w:color="auto"/>
        <w:right w:val="none" w:sz="0" w:space="0" w:color="auto"/>
      </w:divBdr>
    </w:div>
    <w:div w:id="244343121">
      <w:bodyDiv w:val="1"/>
      <w:marLeft w:val="0"/>
      <w:marRight w:val="0"/>
      <w:marTop w:val="0"/>
      <w:marBottom w:val="0"/>
      <w:divBdr>
        <w:top w:val="none" w:sz="0" w:space="0" w:color="auto"/>
        <w:left w:val="none" w:sz="0" w:space="0" w:color="auto"/>
        <w:bottom w:val="none" w:sz="0" w:space="0" w:color="auto"/>
        <w:right w:val="none" w:sz="0" w:space="0" w:color="auto"/>
      </w:divBdr>
    </w:div>
    <w:div w:id="389691961">
      <w:bodyDiv w:val="1"/>
      <w:marLeft w:val="0"/>
      <w:marRight w:val="0"/>
      <w:marTop w:val="0"/>
      <w:marBottom w:val="0"/>
      <w:divBdr>
        <w:top w:val="none" w:sz="0" w:space="0" w:color="auto"/>
        <w:left w:val="none" w:sz="0" w:space="0" w:color="auto"/>
        <w:bottom w:val="none" w:sz="0" w:space="0" w:color="auto"/>
        <w:right w:val="none" w:sz="0" w:space="0" w:color="auto"/>
      </w:divBdr>
    </w:div>
    <w:div w:id="2093158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reach_blank_doc_template_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804FE-02F3-4AB4-8103-3A8186111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reach_blank_doc_template_0.dotx</Template>
  <TotalTime>0</TotalTime>
  <Pages>9</Pages>
  <Words>2748</Words>
  <Characters>15666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 Brett</cp:lastModifiedBy>
  <cp:revision>2</cp:revision>
  <cp:lastPrinted>2014-12-01T13:16:00Z</cp:lastPrinted>
  <dcterms:created xsi:type="dcterms:W3CDTF">2017-02-13T10:48:00Z</dcterms:created>
  <dcterms:modified xsi:type="dcterms:W3CDTF">2017-02-13T10:48:00Z</dcterms:modified>
</cp:coreProperties>
</file>